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C813" w14:textId="77777777" w:rsidR="00C82B70" w:rsidRDefault="00C82B70" w:rsidP="007A2BDE">
      <w:pPr>
        <w:pBdr>
          <w:bottom w:val="single" w:sz="8" w:space="4" w:color="4F81BD"/>
        </w:pBdr>
        <w:spacing w:after="300"/>
        <w:contextualSpacing/>
        <w:jc w:val="both"/>
        <w:rPr>
          <w:rFonts w:ascii="Calibri" w:eastAsia="Times New Roman" w:hAnsi="Calibri" w:cs="Times New Roman"/>
          <w:color w:val="17365D"/>
          <w:spacing w:val="5"/>
          <w:kern w:val="28"/>
          <w:sz w:val="40"/>
          <w:szCs w:val="40"/>
        </w:rPr>
      </w:pPr>
    </w:p>
    <w:p w14:paraId="3727780E" w14:textId="5E1C5A24" w:rsidR="007A2BDE" w:rsidRDefault="007A2BDE" w:rsidP="007A2BDE">
      <w:pPr>
        <w:pBdr>
          <w:bottom w:val="single" w:sz="8" w:space="4" w:color="4F81BD"/>
        </w:pBdr>
        <w:spacing w:after="300"/>
        <w:contextualSpacing/>
        <w:jc w:val="both"/>
        <w:rPr>
          <w:rFonts w:ascii="Calibri" w:eastAsia="Times New Roman" w:hAnsi="Calibri" w:cs="Times New Roman"/>
          <w:color w:val="17365D"/>
          <w:spacing w:val="5"/>
          <w:kern w:val="28"/>
          <w:sz w:val="40"/>
          <w:szCs w:val="40"/>
        </w:rPr>
      </w:pPr>
      <w:r w:rsidRPr="00C55BD8">
        <w:rPr>
          <w:rFonts w:ascii="Calibri" w:eastAsia="Times New Roman" w:hAnsi="Calibri" w:cs="Times New Roman"/>
          <w:color w:val="17365D"/>
          <w:spacing w:val="5"/>
          <w:kern w:val="28"/>
          <w:sz w:val="40"/>
          <w:szCs w:val="40"/>
        </w:rPr>
        <w:t>Polypharmacy Action Learning Sets</w:t>
      </w:r>
    </w:p>
    <w:p w14:paraId="00BAFDBC" w14:textId="51124E75" w:rsidR="00C82B70" w:rsidRPr="00C55BD8" w:rsidRDefault="00C82B70" w:rsidP="007A2BDE">
      <w:pPr>
        <w:pBdr>
          <w:bottom w:val="single" w:sz="8" w:space="4" w:color="4F81BD"/>
        </w:pBdr>
        <w:spacing w:after="300"/>
        <w:contextualSpacing/>
        <w:jc w:val="both"/>
        <w:rPr>
          <w:rFonts w:ascii="Calibri" w:eastAsia="Times New Roman" w:hAnsi="Calibri" w:cs="Times New Roman"/>
          <w:color w:val="17365D"/>
          <w:spacing w:val="5"/>
          <w:kern w:val="28"/>
          <w:sz w:val="40"/>
          <w:szCs w:val="40"/>
        </w:rPr>
      </w:pPr>
      <w:r>
        <w:rPr>
          <w:rFonts w:ascii="Calibri" w:eastAsia="Times New Roman" w:hAnsi="Calibri" w:cs="Times New Roman"/>
          <w:color w:val="17365D"/>
          <w:spacing w:val="5"/>
          <w:kern w:val="28"/>
          <w:sz w:val="40"/>
          <w:szCs w:val="40"/>
        </w:rPr>
        <w:t>Presenter Notes</w:t>
      </w:r>
    </w:p>
    <w:p w14:paraId="00359126" w14:textId="77777777" w:rsidR="007A2BDE" w:rsidRDefault="007A2BDE" w:rsidP="007A2BDE">
      <w:pPr>
        <w:jc w:val="both"/>
        <w:rPr>
          <w:rFonts w:ascii="Calibri" w:eastAsia="Times New Roman" w:hAnsi="Calibri" w:cs="Times New Roman"/>
          <w:b/>
          <w:i/>
          <w:iCs/>
          <w:color w:val="4F81BD"/>
          <w:spacing w:val="15"/>
        </w:rPr>
      </w:pPr>
    </w:p>
    <w:p w14:paraId="220E0D0A" w14:textId="231DA83A" w:rsidR="007A2BDE" w:rsidRDefault="00C82B70" w:rsidP="007A2BDE">
      <w:pPr>
        <w:jc w:val="both"/>
        <w:rPr>
          <w:rFonts w:ascii="Calibri" w:eastAsia="Times New Roman" w:hAnsi="Calibri" w:cs="Times New Roman"/>
          <w:b/>
          <w:i/>
          <w:iCs/>
          <w:color w:val="4F81BD"/>
          <w:spacing w:val="15"/>
        </w:rPr>
      </w:pPr>
      <w:r>
        <w:rPr>
          <w:rFonts w:ascii="Calibri" w:eastAsia="Times New Roman" w:hAnsi="Calibri" w:cs="Times New Roman"/>
          <w:b/>
          <w:i/>
          <w:iCs/>
          <w:color w:val="4F81BD"/>
          <w:spacing w:val="15"/>
        </w:rPr>
        <w:t>To be used in conjunction with the GP Practice Take Away Slides (available online as part of your Delegate Resource Pack)</w:t>
      </w:r>
    </w:p>
    <w:p w14:paraId="43CB8054" w14:textId="7106E663" w:rsidR="00C82B70" w:rsidRDefault="00C82B70" w:rsidP="007A2BDE">
      <w:pPr>
        <w:jc w:val="both"/>
        <w:rPr>
          <w:rFonts w:ascii="Calibri" w:eastAsia="Times New Roman" w:hAnsi="Calibri" w:cs="Times New Roman"/>
          <w:b/>
          <w:i/>
          <w:iCs/>
          <w:color w:val="4F81BD"/>
          <w:spacing w:val="15"/>
        </w:rPr>
      </w:pPr>
    </w:p>
    <w:p w14:paraId="30C155EF" w14:textId="47BF4BF7" w:rsidR="00C82B70" w:rsidRPr="00C55BD8" w:rsidRDefault="00C82B70" w:rsidP="007A2BDE">
      <w:pPr>
        <w:jc w:val="both"/>
        <w:rPr>
          <w:rFonts w:ascii="Calibri" w:eastAsia="Times New Roman" w:hAnsi="Calibri" w:cs="Times New Roman"/>
          <w:b/>
          <w:i/>
          <w:iCs/>
          <w:color w:val="4F81BD"/>
          <w:spacing w:val="15"/>
        </w:rPr>
      </w:pPr>
      <w:r>
        <w:rPr>
          <w:noProof/>
        </w:rPr>
        <w:drawing>
          <wp:inline distT="0" distB="0" distL="0" distR="0" wp14:anchorId="10D21082" wp14:editId="72B85CE3">
            <wp:extent cx="5727700" cy="4288155"/>
            <wp:effectExtent l="19050" t="19050" r="254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4288155"/>
                    </a:xfrm>
                    <a:prstGeom prst="rect">
                      <a:avLst/>
                    </a:prstGeom>
                    <a:ln>
                      <a:solidFill>
                        <a:schemeClr val="tx2"/>
                      </a:solidFill>
                    </a:ln>
                  </pic:spPr>
                </pic:pic>
              </a:graphicData>
            </a:graphic>
          </wp:inline>
        </w:drawing>
      </w:r>
    </w:p>
    <w:p w14:paraId="585B9459" w14:textId="6DBD612D" w:rsidR="00C82B70" w:rsidRDefault="00C82B70" w:rsidP="00C82B70">
      <w:pPr>
        <w:rPr>
          <w:rFonts w:ascii="Calibri" w:eastAsia="Times New Roman" w:hAnsi="Calibri" w:cs="Calibri"/>
          <w:color w:val="000000"/>
          <w:sz w:val="36"/>
          <w:szCs w:val="36"/>
        </w:rPr>
      </w:pPr>
    </w:p>
    <w:p w14:paraId="1545DE55" w14:textId="2A920E6C" w:rsidR="009644BB" w:rsidRPr="009644BB" w:rsidRDefault="009644BB" w:rsidP="00C82B70">
      <w:pPr>
        <w:rPr>
          <w:rFonts w:ascii="Calibri" w:eastAsia="Times New Roman" w:hAnsi="Calibri" w:cs="Calibri"/>
          <w:color w:val="000000"/>
        </w:rPr>
      </w:pPr>
      <w:r w:rsidRPr="009644BB">
        <w:rPr>
          <w:rFonts w:ascii="Calibri" w:eastAsia="Times New Roman" w:hAnsi="Calibri" w:cs="Calibri"/>
          <w:color w:val="000000"/>
        </w:rPr>
        <w:t>These presenter slide notes have been developed to support you in delivering a lunchtime learning session on your experience and knowledge gained at the recent ALS you attended.</w:t>
      </w:r>
    </w:p>
    <w:p w14:paraId="4040109D" w14:textId="74CA2688" w:rsidR="009644BB" w:rsidRPr="009644BB" w:rsidRDefault="009644BB" w:rsidP="00C82B70">
      <w:pPr>
        <w:rPr>
          <w:rFonts w:ascii="Calibri" w:eastAsia="Times New Roman" w:hAnsi="Calibri" w:cs="Calibri"/>
          <w:color w:val="000000"/>
        </w:rPr>
      </w:pPr>
    </w:p>
    <w:p w14:paraId="0A3524E6" w14:textId="6718557F" w:rsidR="009644BB" w:rsidRDefault="009644BB" w:rsidP="00C82B70">
      <w:pPr>
        <w:rPr>
          <w:rFonts w:ascii="Calibri" w:eastAsia="Times New Roman" w:hAnsi="Calibri" w:cs="Calibri"/>
          <w:color w:val="000000"/>
        </w:rPr>
      </w:pPr>
      <w:r w:rsidRPr="009644BB">
        <w:rPr>
          <w:rFonts w:ascii="Calibri" w:eastAsia="Times New Roman" w:hAnsi="Calibri" w:cs="Calibri"/>
          <w:color w:val="000000"/>
        </w:rPr>
        <w:t xml:space="preserve">The notes either go into more detail of what is shown on the slide or signposts you to the specific references. </w:t>
      </w:r>
    </w:p>
    <w:p w14:paraId="2B94D5B6" w14:textId="77777777" w:rsidR="00DE4272" w:rsidRPr="009644BB" w:rsidRDefault="00DE4272" w:rsidP="00C82B70">
      <w:pPr>
        <w:rPr>
          <w:rFonts w:ascii="Calibri" w:eastAsia="Times New Roman" w:hAnsi="Calibri" w:cs="Calibri"/>
          <w:color w:val="000000"/>
        </w:rPr>
      </w:pPr>
    </w:p>
    <w:p w14:paraId="5B3641C1" w14:textId="1E88BF8E" w:rsidR="009644BB" w:rsidRPr="009644BB" w:rsidRDefault="009644BB" w:rsidP="00C82B70">
      <w:pPr>
        <w:rPr>
          <w:rFonts w:ascii="Calibri" w:eastAsia="Times New Roman" w:hAnsi="Calibri" w:cs="Calibri"/>
          <w:color w:val="000000"/>
        </w:rPr>
      </w:pPr>
      <w:r w:rsidRPr="009644BB">
        <w:rPr>
          <w:rFonts w:ascii="Calibri" w:eastAsia="Times New Roman" w:hAnsi="Calibri" w:cs="Calibri"/>
          <w:color w:val="000000"/>
        </w:rPr>
        <w:t xml:space="preserve">They are intended as a guide only. </w:t>
      </w:r>
    </w:p>
    <w:p w14:paraId="73352486" w14:textId="77777777" w:rsidR="009644BB" w:rsidRDefault="009644BB" w:rsidP="00C82B70">
      <w:pPr>
        <w:rPr>
          <w:rFonts w:ascii="Calibri" w:eastAsia="Times New Roman" w:hAnsi="Calibri" w:cs="Calibri"/>
          <w:b/>
          <w:bCs/>
          <w:color w:val="000000"/>
        </w:rPr>
      </w:pPr>
    </w:p>
    <w:p w14:paraId="6733E8FD" w14:textId="77777777" w:rsidR="009644BB" w:rsidRDefault="009644BB">
      <w:pPr>
        <w:rPr>
          <w:rFonts w:ascii="Calibri" w:eastAsia="Times New Roman" w:hAnsi="Calibri" w:cs="Calibri"/>
          <w:b/>
          <w:bCs/>
          <w:color w:val="000000"/>
        </w:rPr>
      </w:pPr>
      <w:r>
        <w:rPr>
          <w:rFonts w:ascii="Calibri" w:eastAsia="Times New Roman" w:hAnsi="Calibri" w:cs="Calibri"/>
          <w:b/>
          <w:bCs/>
          <w:color w:val="000000"/>
        </w:rPr>
        <w:br w:type="page"/>
      </w:r>
    </w:p>
    <w:p w14:paraId="0D073D6F" w14:textId="4F8F97F0" w:rsidR="00C82B70" w:rsidRDefault="00C82B70" w:rsidP="00C82B70">
      <w:pPr>
        <w:rPr>
          <w:rFonts w:ascii="Calibri" w:eastAsia="Times New Roman" w:hAnsi="Calibri" w:cs="Calibri"/>
          <w:b/>
          <w:bCs/>
          <w:color w:val="000000"/>
        </w:rPr>
      </w:pPr>
      <w:r w:rsidRPr="00C82B70">
        <w:rPr>
          <w:rFonts w:ascii="Calibri" w:eastAsia="Times New Roman" w:hAnsi="Calibri" w:cs="Calibri"/>
          <w:b/>
          <w:bCs/>
          <w:color w:val="000000"/>
        </w:rPr>
        <w:lastRenderedPageBreak/>
        <w:t>Slides 1 – 3:</w:t>
      </w:r>
    </w:p>
    <w:p w14:paraId="52C4BFE2" w14:textId="77777777" w:rsidR="009644BB" w:rsidRPr="00C82B70" w:rsidRDefault="009644BB" w:rsidP="00C82B70">
      <w:pPr>
        <w:rPr>
          <w:rFonts w:ascii="Calibri" w:eastAsia="Times New Roman" w:hAnsi="Calibri" w:cs="Calibri"/>
          <w:b/>
          <w:bCs/>
          <w:color w:val="000000"/>
        </w:rPr>
      </w:pPr>
    </w:p>
    <w:p w14:paraId="639E69CC" w14:textId="1D91D74B" w:rsidR="00C82B70" w:rsidRPr="009644BB"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No presenter notes</w:t>
      </w:r>
    </w:p>
    <w:p w14:paraId="6EE69EA0" w14:textId="77777777" w:rsidR="00C82B70" w:rsidRPr="00C82B70" w:rsidRDefault="00C82B70" w:rsidP="00C82B70">
      <w:pPr>
        <w:rPr>
          <w:rFonts w:ascii="Calibri" w:eastAsia="Times New Roman" w:hAnsi="Calibri" w:cs="Calibri"/>
          <w:color w:val="000000"/>
          <w:sz w:val="22"/>
          <w:szCs w:val="22"/>
        </w:rPr>
      </w:pPr>
    </w:p>
    <w:p w14:paraId="489EC085" w14:textId="20605D68" w:rsidR="00C82B70" w:rsidRPr="00C82B70" w:rsidRDefault="00C82B70" w:rsidP="00C82B70">
      <w:pPr>
        <w:rPr>
          <w:rFonts w:ascii="Calibri" w:eastAsia="Times New Roman" w:hAnsi="Calibri" w:cs="Calibri"/>
          <w:b/>
          <w:bCs/>
          <w:color w:val="000000"/>
        </w:rPr>
      </w:pPr>
      <w:r w:rsidRPr="00C82B70">
        <w:rPr>
          <w:rFonts w:ascii="Calibri" w:eastAsia="Times New Roman" w:hAnsi="Calibri" w:cs="Calibri"/>
          <w:b/>
          <w:bCs/>
          <w:color w:val="000000"/>
        </w:rPr>
        <w:t>Slide 4: Size and Scale of Polypharmacy</w:t>
      </w:r>
    </w:p>
    <w:p w14:paraId="32ABF97D" w14:textId="77777777" w:rsidR="009644BB" w:rsidRDefault="009644BB" w:rsidP="00C82B70">
      <w:pPr>
        <w:rPr>
          <w:rFonts w:ascii="Calibri" w:eastAsia="Times New Roman" w:hAnsi="Calibri" w:cs="Calibri"/>
          <w:color w:val="000000"/>
          <w:sz w:val="22"/>
          <w:szCs w:val="22"/>
          <w:u w:val="single"/>
        </w:rPr>
      </w:pPr>
    </w:p>
    <w:p w14:paraId="25D9C957" w14:textId="7BF64B19" w:rsidR="00C82B70" w:rsidRDefault="009644BB" w:rsidP="00C82B70">
      <w:pPr>
        <w:rPr>
          <w:rFonts w:ascii="Calibri" w:eastAsia="Times New Roman" w:hAnsi="Calibri" w:cs="Calibri"/>
          <w:color w:val="000000"/>
          <w:sz w:val="22"/>
          <w:szCs w:val="22"/>
          <w:u w:val="single"/>
        </w:rPr>
      </w:pPr>
      <w:r>
        <w:rPr>
          <w:rFonts w:ascii="Calibri" w:eastAsia="Times New Roman" w:hAnsi="Calibri" w:cs="Calibri"/>
          <w:color w:val="000000"/>
          <w:sz w:val="22"/>
          <w:szCs w:val="22"/>
          <w:u w:val="single"/>
        </w:rPr>
        <w:t>References</w:t>
      </w:r>
    </w:p>
    <w:p w14:paraId="731EB442" w14:textId="77777777" w:rsidR="009644BB" w:rsidRPr="00C82B70" w:rsidRDefault="009644BB" w:rsidP="00C82B70">
      <w:pPr>
        <w:rPr>
          <w:rFonts w:ascii="Calibri" w:eastAsia="Times New Roman" w:hAnsi="Calibri" w:cs="Calibri"/>
          <w:color w:val="000000"/>
          <w:sz w:val="22"/>
          <w:szCs w:val="22"/>
          <w:u w:val="single"/>
        </w:rPr>
      </w:pPr>
    </w:p>
    <w:p w14:paraId="2F0DE2FA" w14:textId="77777777"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 xml:space="preserve">1) </w:t>
      </w:r>
      <w:r w:rsidRPr="00C82B70">
        <w:rPr>
          <w:rFonts w:ascii="Calibri" w:eastAsia="Times New Roman" w:hAnsi="Calibri" w:cs="Calibri"/>
          <w:color w:val="000000"/>
          <w:sz w:val="22"/>
          <w:szCs w:val="22"/>
        </w:rPr>
        <w:t xml:space="preserve">Parekh, N, et al, Incidence and cost of medication harm in older adults following hospital discharge: </w:t>
      </w:r>
    </w:p>
    <w:p w14:paraId="42C95887" w14:textId="77777777"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a multicentre prospective study in the UK, Br J Clin </w:t>
      </w:r>
    </w:p>
    <w:p w14:paraId="4156065D" w14:textId="77777777" w:rsidR="00C82B70" w:rsidRPr="00C82B70" w:rsidRDefault="00C82B70" w:rsidP="00C82B70">
      <w:pPr>
        <w:rPr>
          <w:rFonts w:ascii="Calibri" w:eastAsia="Times New Roman" w:hAnsi="Calibri" w:cs="Calibri"/>
          <w:color w:val="000000"/>
          <w:sz w:val="22"/>
          <w:szCs w:val="22"/>
        </w:rPr>
      </w:pPr>
      <w:proofErr w:type="spellStart"/>
      <w:r w:rsidRPr="00C82B70">
        <w:rPr>
          <w:rFonts w:ascii="Calibri" w:eastAsia="Times New Roman" w:hAnsi="Calibri" w:cs="Calibri"/>
          <w:color w:val="000000"/>
          <w:sz w:val="22"/>
          <w:szCs w:val="22"/>
        </w:rPr>
        <w:t>Pharmacol</w:t>
      </w:r>
      <w:proofErr w:type="spellEnd"/>
      <w:r w:rsidRPr="00C82B70">
        <w:rPr>
          <w:rFonts w:ascii="Calibri" w:eastAsia="Times New Roman" w:hAnsi="Calibri" w:cs="Calibri"/>
          <w:color w:val="000000"/>
          <w:sz w:val="22"/>
          <w:szCs w:val="22"/>
        </w:rPr>
        <w:t xml:space="preserve"> (2018) 84 1789–1797</w:t>
      </w:r>
    </w:p>
    <w:p w14:paraId="1C3EF707" w14:textId="4F412CA7" w:rsid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(2) Cahir C et al (2014). Potentially inappropriate prescribing and adverse health outcomes in community dwelling older patients. Br J Clin </w:t>
      </w:r>
      <w:proofErr w:type="spellStart"/>
      <w:r w:rsidRPr="00C82B70">
        <w:rPr>
          <w:rFonts w:ascii="Calibri" w:eastAsia="Times New Roman" w:hAnsi="Calibri" w:cs="Calibri"/>
          <w:color w:val="000000"/>
          <w:sz w:val="22"/>
          <w:szCs w:val="22"/>
        </w:rPr>
        <w:t>Pharmacol</w:t>
      </w:r>
      <w:proofErr w:type="spellEnd"/>
      <w:r w:rsidRPr="00C82B70">
        <w:rPr>
          <w:rFonts w:ascii="Calibri" w:eastAsia="Times New Roman" w:hAnsi="Calibri" w:cs="Calibri"/>
          <w:color w:val="000000"/>
          <w:sz w:val="22"/>
          <w:szCs w:val="22"/>
        </w:rPr>
        <w:t xml:space="preserve">. 2014 Jan; 77(1): 201–210. </w:t>
      </w:r>
    </w:p>
    <w:p w14:paraId="125AD16C" w14:textId="4120CC0A" w:rsidR="00C82B70" w:rsidRDefault="00C82B70" w:rsidP="00C82B70">
      <w:pPr>
        <w:rPr>
          <w:rFonts w:ascii="Calibri" w:eastAsia="Times New Roman" w:hAnsi="Calibri" w:cs="Calibri"/>
          <w:color w:val="000000"/>
          <w:sz w:val="22"/>
          <w:szCs w:val="22"/>
        </w:rPr>
      </w:pPr>
    </w:p>
    <w:p w14:paraId="5257FDE4" w14:textId="0A8F108C" w:rsidR="00C82B70"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5: What are we doing about it?</w:t>
      </w:r>
    </w:p>
    <w:p w14:paraId="2D7A800F" w14:textId="77777777" w:rsidR="009644BB" w:rsidRPr="004A02D5" w:rsidRDefault="009644BB" w:rsidP="00C82B70">
      <w:pPr>
        <w:rPr>
          <w:rFonts w:ascii="Calibri" w:eastAsia="Times New Roman" w:hAnsi="Calibri" w:cs="Calibri"/>
          <w:b/>
          <w:bCs/>
          <w:color w:val="000000"/>
        </w:rPr>
      </w:pPr>
    </w:p>
    <w:p w14:paraId="06118F62" w14:textId="51DC1439" w:rsidR="00C82B70" w:rsidRDefault="00C82B70" w:rsidP="009644BB">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No presenter notes</w:t>
      </w:r>
    </w:p>
    <w:p w14:paraId="35CFE33F" w14:textId="034DB059" w:rsidR="00C82B70" w:rsidRDefault="00C82B70" w:rsidP="00C82B70">
      <w:pPr>
        <w:rPr>
          <w:rFonts w:ascii="Calibri" w:eastAsia="Times New Roman" w:hAnsi="Calibri" w:cs="Calibri"/>
          <w:color w:val="000000"/>
          <w:sz w:val="22"/>
          <w:szCs w:val="22"/>
        </w:rPr>
      </w:pPr>
    </w:p>
    <w:p w14:paraId="5672EC3F" w14:textId="0C99FAFE" w:rsidR="00C82B70"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6: Strategic and Policy Context</w:t>
      </w:r>
    </w:p>
    <w:p w14:paraId="4C253297" w14:textId="77777777" w:rsidR="009644BB" w:rsidRDefault="009644BB" w:rsidP="00C82B70">
      <w:pPr>
        <w:rPr>
          <w:rFonts w:ascii="Calibri" w:eastAsia="Times New Roman" w:hAnsi="Calibri" w:cs="Calibri"/>
          <w:color w:val="000000"/>
          <w:sz w:val="22"/>
          <w:szCs w:val="22"/>
          <w:u w:val="single"/>
        </w:rPr>
      </w:pPr>
    </w:p>
    <w:p w14:paraId="0A3E8F9C" w14:textId="37E7A156" w:rsidR="009644BB" w:rsidRPr="009644BB" w:rsidRDefault="009644BB" w:rsidP="00C82B70">
      <w:pPr>
        <w:rPr>
          <w:rFonts w:ascii="Calibri" w:eastAsia="Times New Roman" w:hAnsi="Calibri" w:cs="Calibri"/>
          <w:color w:val="000000"/>
          <w:sz w:val="22"/>
          <w:szCs w:val="22"/>
          <w:u w:val="single"/>
        </w:rPr>
      </w:pPr>
      <w:r w:rsidRPr="009644BB">
        <w:rPr>
          <w:rFonts w:ascii="Calibri" w:eastAsia="Times New Roman" w:hAnsi="Calibri" w:cs="Calibri"/>
          <w:color w:val="000000"/>
          <w:sz w:val="22"/>
          <w:szCs w:val="22"/>
          <w:u w:val="single"/>
        </w:rPr>
        <w:t>References</w:t>
      </w:r>
    </w:p>
    <w:p w14:paraId="461A4B4C" w14:textId="77777777" w:rsidR="009644BB" w:rsidRDefault="009644BB" w:rsidP="00C82B70">
      <w:pPr>
        <w:rPr>
          <w:rFonts w:ascii="Calibri" w:eastAsia="Times New Roman" w:hAnsi="Calibri" w:cs="Calibri"/>
          <w:color w:val="000000"/>
          <w:sz w:val="22"/>
          <w:szCs w:val="22"/>
        </w:rPr>
      </w:pPr>
    </w:p>
    <w:p w14:paraId="07CD5354" w14:textId="4A12963C"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1</w:t>
      </w:r>
      <w:r w:rsidR="009644BB">
        <w:rPr>
          <w:rFonts w:ascii="Calibri" w:eastAsia="Times New Roman" w:hAnsi="Calibri" w:cs="Calibri"/>
          <w:color w:val="000000"/>
          <w:sz w:val="22"/>
          <w:szCs w:val="22"/>
        </w:rPr>
        <w:t>)</w:t>
      </w:r>
      <w:r w:rsidRPr="00C82B70">
        <w:rPr>
          <w:rFonts w:ascii="Calibri" w:eastAsia="Times New Roman" w:hAnsi="Calibri" w:cs="Calibri"/>
          <w:color w:val="000000"/>
          <w:sz w:val="22"/>
          <w:szCs w:val="22"/>
        </w:rPr>
        <w:t xml:space="preserve"> Long term plan </w:t>
      </w:r>
    </w:p>
    <w:p w14:paraId="6B026DFE" w14:textId="77777777" w:rsidR="00C82B70" w:rsidRPr="00C82B70" w:rsidRDefault="00C82B70" w:rsidP="00C82B70">
      <w:pPr>
        <w:rPr>
          <w:rFonts w:ascii="Calibri" w:eastAsia="Times New Roman" w:hAnsi="Calibri" w:cs="Calibri"/>
          <w:color w:val="000000"/>
          <w:sz w:val="22"/>
          <w:szCs w:val="22"/>
        </w:rPr>
      </w:pPr>
      <w:hyperlink r:id="rId11" w:history="1">
        <w:r w:rsidRPr="00C82B70">
          <w:rPr>
            <w:rStyle w:val="Hyperlink"/>
            <w:rFonts w:ascii="Calibri" w:eastAsia="Times New Roman" w:hAnsi="Calibri" w:cs="Calibri"/>
            <w:sz w:val="22"/>
            <w:szCs w:val="22"/>
          </w:rPr>
          <w:t>https://www.longtermplan.nhs.uk/wp-content/uploads/2019/01/the-nhs-long-term-plan-summary.pdf</w:t>
        </w:r>
      </w:hyperlink>
    </w:p>
    <w:p w14:paraId="73630BF1" w14:textId="77777777" w:rsidR="009644BB" w:rsidRDefault="009644BB" w:rsidP="00C82B70">
      <w:pPr>
        <w:rPr>
          <w:rFonts w:ascii="Calibri" w:eastAsia="Times New Roman" w:hAnsi="Calibri" w:cs="Calibri"/>
          <w:color w:val="000000"/>
          <w:sz w:val="22"/>
          <w:szCs w:val="22"/>
        </w:rPr>
      </w:pPr>
    </w:p>
    <w:p w14:paraId="5742971E" w14:textId="2E12B6B9" w:rsidR="00C82B70" w:rsidRPr="00C82B70" w:rsidRDefault="009644BB" w:rsidP="00C82B7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2) </w:t>
      </w:r>
      <w:r w:rsidR="00C82B70" w:rsidRPr="00C82B70">
        <w:rPr>
          <w:rFonts w:ascii="Calibri" w:eastAsia="Times New Roman" w:hAnsi="Calibri" w:cs="Calibri"/>
          <w:color w:val="000000"/>
          <w:sz w:val="22"/>
          <w:szCs w:val="22"/>
        </w:rPr>
        <w:t xml:space="preserve">Doing things differently and backing the workforce </w:t>
      </w:r>
      <w:r w:rsidRPr="00C82B70">
        <w:rPr>
          <w:rFonts w:ascii="Calibri" w:eastAsia="Times New Roman" w:hAnsi="Calibri" w:cs="Calibri"/>
          <w:color w:val="000000"/>
          <w:sz w:val="22"/>
          <w:szCs w:val="22"/>
        </w:rPr>
        <w:t>i.e.</w:t>
      </w:r>
      <w:r w:rsidR="00C82B70" w:rsidRPr="00C82B70">
        <w:rPr>
          <w:rFonts w:ascii="Calibri" w:eastAsia="Times New Roman" w:hAnsi="Calibri" w:cs="Calibri"/>
          <w:color w:val="000000"/>
          <w:sz w:val="22"/>
          <w:szCs w:val="22"/>
        </w:rPr>
        <w:t xml:space="preserve"> use of pharmacists </w:t>
      </w:r>
    </w:p>
    <w:p w14:paraId="30AC3ED4" w14:textId="40FC4AAC" w:rsidR="00C82B70" w:rsidRPr="00C82B70" w:rsidRDefault="009644BB" w:rsidP="00C82B70">
      <w:pPr>
        <w:rPr>
          <w:rFonts w:ascii="Calibri" w:eastAsia="Times New Roman" w:hAnsi="Calibri" w:cs="Calibri"/>
          <w:color w:val="000000"/>
          <w:sz w:val="22"/>
          <w:szCs w:val="22"/>
        </w:rPr>
      </w:pPr>
      <w:hyperlink r:id="rId12" w:history="1">
        <w:r w:rsidRPr="00C82B70">
          <w:rPr>
            <w:rStyle w:val="Hyperlink"/>
            <w:rFonts w:ascii="Calibri" w:eastAsia="Times New Roman" w:hAnsi="Calibri" w:cs="Calibri"/>
            <w:sz w:val="22"/>
            <w:szCs w:val="22"/>
          </w:rPr>
          <w:t>https://www.sps.nhs.uk/articles/about-the-who-medication-without-harm-global-patient-safety-challenge/</w:t>
        </w:r>
      </w:hyperlink>
    </w:p>
    <w:p w14:paraId="755E2613" w14:textId="77777777" w:rsidR="009644BB" w:rsidRDefault="009644BB" w:rsidP="00C82B70">
      <w:pPr>
        <w:rPr>
          <w:rFonts w:ascii="Calibri" w:eastAsia="Times New Roman" w:hAnsi="Calibri" w:cs="Calibri"/>
          <w:color w:val="000000"/>
          <w:sz w:val="22"/>
          <w:szCs w:val="22"/>
          <w:lang w:val="en-US"/>
        </w:rPr>
      </w:pPr>
    </w:p>
    <w:p w14:paraId="3AF3ED16" w14:textId="5547E58E"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The challenge sets out five actions and the NHS has seen the use of QOF to help deliver some of it around polypharmacy</w:t>
      </w:r>
      <w:r w:rsidR="009644BB">
        <w:rPr>
          <w:rFonts w:ascii="Calibri" w:eastAsia="Times New Roman" w:hAnsi="Calibri" w:cs="Calibri"/>
          <w:color w:val="000000"/>
          <w:sz w:val="22"/>
          <w:szCs w:val="22"/>
          <w:lang w:val="en-US"/>
        </w:rPr>
        <w:t xml:space="preserve">. </w:t>
      </w:r>
      <w:r w:rsidRPr="00C82B70">
        <w:rPr>
          <w:rFonts w:ascii="Calibri" w:eastAsia="Times New Roman" w:hAnsi="Calibri" w:cs="Calibri"/>
          <w:color w:val="000000"/>
          <w:sz w:val="22"/>
          <w:szCs w:val="22"/>
          <w:lang w:val="en-US"/>
        </w:rPr>
        <w:t>Take early action to protect patients from harm arising from</w:t>
      </w:r>
      <w:r w:rsidR="009644BB">
        <w:rPr>
          <w:rFonts w:ascii="Calibri" w:eastAsia="Times New Roman" w:hAnsi="Calibri" w:cs="Calibri"/>
          <w:color w:val="000000"/>
          <w:sz w:val="22"/>
          <w:szCs w:val="22"/>
          <w:lang w:val="en-US"/>
        </w:rPr>
        <w:t xml:space="preserve"> high risk situations, polypharmacy and transitions of care</w:t>
      </w:r>
    </w:p>
    <w:p w14:paraId="5C0D1F26" w14:textId="77777777" w:rsidR="009644BB" w:rsidRDefault="009644BB" w:rsidP="00C82B70">
      <w:pPr>
        <w:rPr>
          <w:rFonts w:ascii="Calibri" w:eastAsia="Times New Roman" w:hAnsi="Calibri" w:cs="Calibri"/>
          <w:color w:val="000000"/>
          <w:sz w:val="22"/>
          <w:szCs w:val="22"/>
          <w:lang w:val="en-US"/>
        </w:rPr>
      </w:pPr>
    </w:p>
    <w:p w14:paraId="5E9C8680" w14:textId="646E0969" w:rsidR="009644BB" w:rsidRDefault="009644BB" w:rsidP="00C82B70">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Further action is cited namely;</w:t>
      </w:r>
    </w:p>
    <w:p w14:paraId="7BDDBC8F" w14:textId="35E0BF42" w:rsidR="00C82B70" w:rsidRPr="00C82B70" w:rsidRDefault="009644BB" w:rsidP="009644BB">
      <w:pPr>
        <w:ind w:left="720"/>
        <w:rPr>
          <w:rFonts w:ascii="Calibri" w:eastAsia="Times New Roman" w:hAnsi="Calibri" w:cs="Calibri"/>
          <w:color w:val="000000"/>
          <w:sz w:val="22"/>
          <w:szCs w:val="22"/>
        </w:rPr>
      </w:pPr>
      <w:r>
        <w:rPr>
          <w:rFonts w:ascii="Calibri" w:eastAsia="Times New Roman" w:hAnsi="Calibri" w:cs="Calibri"/>
          <w:color w:val="000000"/>
          <w:sz w:val="22"/>
          <w:szCs w:val="22"/>
          <w:lang w:val="en-US"/>
        </w:rPr>
        <w:t>-</w:t>
      </w:r>
      <w:r w:rsidR="00C82B70" w:rsidRPr="00C82B70">
        <w:rPr>
          <w:rFonts w:ascii="Calibri" w:eastAsia="Times New Roman" w:hAnsi="Calibri" w:cs="Calibri"/>
          <w:color w:val="000000"/>
          <w:sz w:val="22"/>
          <w:szCs w:val="22"/>
          <w:lang w:val="en-US"/>
        </w:rPr>
        <w:t>Convene national experts, health system leaders and practitioners to produce guidance and action plans for each of the targeted domains</w:t>
      </w:r>
    </w:p>
    <w:p w14:paraId="0497B788" w14:textId="77777777" w:rsidR="00C82B70" w:rsidRPr="00C82B70" w:rsidRDefault="00C82B70" w:rsidP="009644BB">
      <w:pPr>
        <w:ind w:left="720"/>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 xml:space="preserve">-Put mechanisms in place, including the use of tools and technologies, </w:t>
      </w:r>
      <w:r w:rsidRPr="00C82B70">
        <w:rPr>
          <w:rFonts w:ascii="Calibri" w:eastAsia="Times New Roman" w:hAnsi="Calibri" w:cs="Calibri"/>
          <w:b/>
          <w:bCs/>
          <w:color w:val="000000"/>
          <w:sz w:val="22"/>
          <w:szCs w:val="22"/>
          <w:lang w:val="en-US"/>
        </w:rPr>
        <w:t>to enhance patient awareness and knowledge about medicines and medication use process, and patients’ role in managing their own medications safely</w:t>
      </w:r>
    </w:p>
    <w:p w14:paraId="4B68A05E" w14:textId="77777777" w:rsidR="00C82B70" w:rsidRPr="00C82B70" w:rsidRDefault="00C82B70" w:rsidP="009644BB">
      <w:pPr>
        <w:ind w:left="720"/>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-Designate a national coordinator to spearhead the Global Patient Safety Challenge on Medication Safety</w:t>
      </w:r>
    </w:p>
    <w:p w14:paraId="07DD0653" w14:textId="77777777" w:rsidR="00C82B70" w:rsidRPr="00C82B70" w:rsidRDefault="00C82B70" w:rsidP="009644BB">
      <w:pPr>
        <w:ind w:left="720"/>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-Assess progress regularly</w:t>
      </w:r>
    </w:p>
    <w:p w14:paraId="45485F44" w14:textId="6C6BF25C"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3</w:t>
      </w:r>
      <w:r w:rsidR="009644BB">
        <w:rPr>
          <w:rFonts w:ascii="Calibri" w:eastAsia="Times New Roman" w:hAnsi="Calibri" w:cs="Calibri"/>
          <w:color w:val="000000"/>
          <w:sz w:val="22"/>
          <w:szCs w:val="22"/>
        </w:rPr>
        <w:t>)</w:t>
      </w:r>
      <w:r w:rsidRPr="00C82B70">
        <w:rPr>
          <w:rFonts w:ascii="Calibri" w:eastAsia="Times New Roman" w:hAnsi="Calibri" w:cs="Calibri"/>
          <w:color w:val="000000"/>
          <w:sz w:val="22"/>
          <w:szCs w:val="22"/>
        </w:rPr>
        <w:t xml:space="preserve"> QOF </w:t>
      </w:r>
    </w:p>
    <w:p w14:paraId="047B87A0" w14:textId="77777777" w:rsidR="00C82B70" w:rsidRPr="00C82B70" w:rsidRDefault="00C82B70" w:rsidP="00C82B70">
      <w:pPr>
        <w:rPr>
          <w:rFonts w:ascii="Calibri" w:eastAsia="Times New Roman" w:hAnsi="Calibri" w:cs="Calibri"/>
          <w:color w:val="000000"/>
          <w:sz w:val="22"/>
          <w:szCs w:val="22"/>
        </w:rPr>
      </w:pPr>
      <w:hyperlink r:id="rId13" w:history="1">
        <w:r w:rsidRPr="00C82B70">
          <w:rPr>
            <w:rStyle w:val="Hyperlink"/>
            <w:rFonts w:ascii="Calibri" w:eastAsia="Times New Roman" w:hAnsi="Calibri" w:cs="Calibri"/>
            <w:sz w:val="22"/>
            <w:szCs w:val="22"/>
          </w:rPr>
          <w:t>https://www.england.nhs.uk/wp-content/uploads/2019/05/gms-contract-qof-guidance-april-2019.pdf</w:t>
        </w:r>
      </w:hyperlink>
    </w:p>
    <w:p w14:paraId="4B0496C5" w14:textId="77777777" w:rsidR="009644BB" w:rsidRDefault="009644BB" w:rsidP="00C82B70">
      <w:pPr>
        <w:rPr>
          <w:rFonts w:ascii="Calibri" w:eastAsia="Times New Roman" w:hAnsi="Calibri" w:cs="Calibri"/>
          <w:color w:val="000000"/>
          <w:sz w:val="22"/>
          <w:szCs w:val="22"/>
          <w:lang w:val="en-US"/>
        </w:rPr>
      </w:pPr>
    </w:p>
    <w:p w14:paraId="1588891F" w14:textId="32087E5D" w:rsidR="009644BB" w:rsidRDefault="00C82B70" w:rsidP="00C82B70">
      <w:pPr>
        <w:rPr>
          <w:rFonts w:ascii="Calibri" w:eastAsia="Times New Roman" w:hAnsi="Calibri" w:cs="Calibri"/>
          <w:color w:val="000000"/>
          <w:sz w:val="22"/>
          <w:szCs w:val="22"/>
          <w:lang w:val="en-US"/>
        </w:rPr>
      </w:pPr>
      <w:r w:rsidRPr="00C82B70">
        <w:rPr>
          <w:rFonts w:ascii="Calibri" w:eastAsia="Times New Roman" w:hAnsi="Calibri" w:cs="Calibri"/>
          <w:color w:val="000000"/>
          <w:sz w:val="22"/>
          <w:szCs w:val="22"/>
          <w:lang w:val="en-US"/>
        </w:rPr>
        <w:t xml:space="preserve">QI activities </w:t>
      </w:r>
      <w:r w:rsidR="009644BB">
        <w:rPr>
          <w:rFonts w:ascii="Calibri" w:eastAsia="Times New Roman" w:hAnsi="Calibri" w:cs="Calibri"/>
          <w:color w:val="000000"/>
          <w:sz w:val="22"/>
          <w:szCs w:val="22"/>
          <w:lang w:val="en-US"/>
        </w:rPr>
        <w:t>we need to do (example);</w:t>
      </w:r>
    </w:p>
    <w:p w14:paraId="564E00B2" w14:textId="77777777" w:rsidR="009644BB" w:rsidRDefault="009644BB" w:rsidP="00C82B70">
      <w:pPr>
        <w:rPr>
          <w:rFonts w:ascii="Calibri" w:eastAsia="Times New Roman" w:hAnsi="Calibri" w:cs="Calibri"/>
          <w:color w:val="000000"/>
          <w:sz w:val="22"/>
          <w:szCs w:val="22"/>
          <w:lang w:val="en-US"/>
        </w:rPr>
      </w:pPr>
    </w:p>
    <w:p w14:paraId="72F779D3" w14:textId="77777777" w:rsidR="009644BB" w:rsidRPr="009644BB" w:rsidRDefault="00C82B70" w:rsidP="009644BB">
      <w:pPr>
        <w:pStyle w:val="ListParagraph"/>
        <w:numPr>
          <w:ilvl w:val="0"/>
          <w:numId w:val="4"/>
        </w:numPr>
        <w:rPr>
          <w:rFonts w:ascii="Calibri" w:eastAsia="Times New Roman" w:hAnsi="Calibri" w:cs="Calibri"/>
          <w:color w:val="000000"/>
          <w:sz w:val="22"/>
          <w:szCs w:val="22"/>
        </w:rPr>
      </w:pPr>
      <w:r w:rsidRPr="009644BB">
        <w:rPr>
          <w:rFonts w:ascii="Calibri" w:eastAsia="Times New Roman" w:hAnsi="Calibri" w:cs="Calibri"/>
          <w:color w:val="000000"/>
          <w:sz w:val="22"/>
          <w:szCs w:val="22"/>
          <w:lang w:val="en-US"/>
        </w:rPr>
        <w:t xml:space="preserve">Baseline practice prescribing analysis identifies patients on regular NSAID prescriptions with a recorded contraindication. </w:t>
      </w:r>
    </w:p>
    <w:p w14:paraId="120EC963" w14:textId="5C84EFFC" w:rsidR="00C82B70" w:rsidRPr="009644BB" w:rsidRDefault="00C82B70" w:rsidP="009644BB">
      <w:pPr>
        <w:pStyle w:val="ListParagraph"/>
        <w:numPr>
          <w:ilvl w:val="0"/>
          <w:numId w:val="4"/>
        </w:numPr>
        <w:rPr>
          <w:rFonts w:ascii="Calibri" w:eastAsia="Times New Roman" w:hAnsi="Calibri" w:cs="Calibri"/>
          <w:color w:val="000000"/>
          <w:sz w:val="22"/>
          <w:szCs w:val="22"/>
        </w:rPr>
      </w:pPr>
      <w:r w:rsidRPr="009644BB">
        <w:rPr>
          <w:rFonts w:ascii="Calibri" w:eastAsia="Times New Roman" w:hAnsi="Calibri" w:cs="Calibri"/>
          <w:color w:val="000000"/>
          <w:sz w:val="22"/>
          <w:szCs w:val="22"/>
          <w:lang w:val="en-US"/>
        </w:rPr>
        <w:t>Baseline practice prescribing analysis shows only 5% of patients obtaining a regular (repeat) NSAID have had a clinical safety risk assessment clearly documented within the last 12months.</w:t>
      </w:r>
    </w:p>
    <w:p w14:paraId="5799FFD4" w14:textId="77777777" w:rsidR="009644BB" w:rsidRDefault="009644BB" w:rsidP="00C82B70">
      <w:pPr>
        <w:rPr>
          <w:rFonts w:ascii="Calibri" w:eastAsia="Times New Roman" w:hAnsi="Calibri" w:cs="Calibri"/>
          <w:color w:val="000000"/>
          <w:sz w:val="22"/>
          <w:szCs w:val="22"/>
          <w:lang w:val="en-US"/>
        </w:rPr>
      </w:pPr>
    </w:p>
    <w:p w14:paraId="5C50A0A6" w14:textId="2B96A2DF"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A new DES for structured medication review (SMR) will be in the 2020 GP contract and will include high risk groups of patients that should receive an SMR</w:t>
      </w:r>
      <w:r w:rsidR="009644BB">
        <w:rPr>
          <w:rFonts w:ascii="Calibri" w:eastAsia="Times New Roman" w:hAnsi="Calibri" w:cs="Calibri"/>
          <w:color w:val="000000"/>
          <w:sz w:val="22"/>
          <w:szCs w:val="22"/>
          <w:lang w:val="en-US"/>
        </w:rPr>
        <w:t>.</w:t>
      </w:r>
      <w:r w:rsidRPr="00C82B70">
        <w:rPr>
          <w:rFonts w:ascii="Calibri" w:eastAsia="Times New Roman" w:hAnsi="Calibri" w:cs="Calibri"/>
          <w:color w:val="000000"/>
          <w:sz w:val="22"/>
          <w:szCs w:val="22"/>
          <w:lang w:val="en-US"/>
        </w:rPr>
        <w:t xml:space="preserve"> </w:t>
      </w:r>
    </w:p>
    <w:p w14:paraId="5398E504" w14:textId="77777777" w:rsidR="009644BB" w:rsidRDefault="009644BB" w:rsidP="00C82B70">
      <w:pPr>
        <w:rPr>
          <w:rFonts w:ascii="Calibri" w:eastAsia="Times New Roman" w:hAnsi="Calibri" w:cs="Calibri"/>
          <w:color w:val="000000"/>
          <w:sz w:val="22"/>
          <w:szCs w:val="22"/>
        </w:rPr>
      </w:pPr>
    </w:p>
    <w:p w14:paraId="1C2FD74D" w14:textId="49F83F15"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STOMP - Stop Over Medication Programme target for patients with learning disabilities and autism </w:t>
      </w:r>
    </w:p>
    <w:p w14:paraId="72635406" w14:textId="4CF30560"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Make this clear that you can make this part of business as usual</w:t>
      </w:r>
      <w:r w:rsidR="009644BB">
        <w:rPr>
          <w:rFonts w:ascii="Calibri" w:eastAsia="Times New Roman" w:hAnsi="Calibri" w:cs="Calibri"/>
          <w:color w:val="000000"/>
          <w:sz w:val="22"/>
          <w:szCs w:val="22"/>
        </w:rPr>
        <w:t>.</w:t>
      </w:r>
    </w:p>
    <w:p w14:paraId="5C64EC8B" w14:textId="77777777" w:rsidR="00C82B70" w:rsidRDefault="00C82B70" w:rsidP="00C82B70">
      <w:pPr>
        <w:rPr>
          <w:rFonts w:ascii="Calibri" w:eastAsia="Times New Roman" w:hAnsi="Calibri" w:cs="Calibri"/>
          <w:color w:val="000000"/>
          <w:sz w:val="22"/>
          <w:szCs w:val="22"/>
        </w:rPr>
      </w:pPr>
    </w:p>
    <w:p w14:paraId="443933C3" w14:textId="6183AA29" w:rsidR="00C82B70" w:rsidRDefault="00C82B70" w:rsidP="00C82B70">
      <w:pPr>
        <w:rPr>
          <w:rFonts w:ascii="Calibri" w:eastAsia="Times New Roman" w:hAnsi="Calibri" w:cs="Calibri"/>
          <w:color w:val="000000"/>
          <w:sz w:val="22"/>
          <w:szCs w:val="22"/>
        </w:rPr>
      </w:pPr>
    </w:p>
    <w:p w14:paraId="1323DD6F" w14:textId="75C90ED0"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 xml:space="preserve">Slide 7 – 11 </w:t>
      </w:r>
    </w:p>
    <w:p w14:paraId="1F845627" w14:textId="77777777" w:rsidR="009644BB" w:rsidRDefault="009644BB" w:rsidP="009644BB">
      <w:pPr>
        <w:pStyle w:val="ListParagraph"/>
        <w:rPr>
          <w:rFonts w:ascii="Calibri" w:eastAsia="Times New Roman" w:hAnsi="Calibri" w:cs="Calibri"/>
          <w:color w:val="000000"/>
          <w:sz w:val="22"/>
          <w:szCs w:val="22"/>
        </w:rPr>
      </w:pPr>
    </w:p>
    <w:p w14:paraId="3D4A2D63" w14:textId="75E2CCB0" w:rsidR="00C82B70"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No presenter notes</w:t>
      </w:r>
    </w:p>
    <w:p w14:paraId="18D38236" w14:textId="77777777" w:rsidR="009644BB" w:rsidRPr="009644BB" w:rsidRDefault="009644BB" w:rsidP="009644BB">
      <w:pPr>
        <w:pStyle w:val="ListParagraph"/>
        <w:rPr>
          <w:rFonts w:ascii="Calibri" w:eastAsia="Times New Roman" w:hAnsi="Calibri" w:cs="Calibri"/>
          <w:color w:val="000000"/>
          <w:sz w:val="22"/>
          <w:szCs w:val="22"/>
        </w:rPr>
      </w:pPr>
    </w:p>
    <w:p w14:paraId="1FB1F54D" w14:textId="091C4B0A" w:rsidR="00C82B70" w:rsidRDefault="00C82B70" w:rsidP="00C82B70">
      <w:pPr>
        <w:rPr>
          <w:rFonts w:ascii="Calibri" w:eastAsia="Times New Roman" w:hAnsi="Calibri" w:cs="Calibri"/>
          <w:color w:val="000000"/>
          <w:sz w:val="22"/>
          <w:szCs w:val="22"/>
        </w:rPr>
      </w:pPr>
    </w:p>
    <w:p w14:paraId="5FE3A157" w14:textId="55540315"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12: What about patients?</w:t>
      </w:r>
    </w:p>
    <w:p w14:paraId="2CCEA7DE" w14:textId="77777777" w:rsidR="009644BB" w:rsidRPr="009644BB" w:rsidRDefault="009644BB" w:rsidP="009644BB">
      <w:pPr>
        <w:ind w:left="720"/>
        <w:rPr>
          <w:rFonts w:ascii="Calibri" w:eastAsia="Times New Roman" w:hAnsi="Calibri" w:cs="Calibri"/>
          <w:color w:val="000000"/>
          <w:sz w:val="22"/>
          <w:szCs w:val="22"/>
        </w:rPr>
      </w:pPr>
    </w:p>
    <w:p w14:paraId="0855A81C" w14:textId="3CE809D9" w:rsidR="00C82B70" w:rsidRPr="00C82B70" w:rsidRDefault="00C82B70" w:rsidP="00C82B70">
      <w:pPr>
        <w:numPr>
          <w:ilvl w:val="0"/>
          <w:numId w:val="1"/>
        </w:numPr>
        <w:rPr>
          <w:rFonts w:ascii="Calibri" w:eastAsia="Times New Roman" w:hAnsi="Calibri" w:cs="Calibri"/>
          <w:color w:val="000000"/>
          <w:sz w:val="22"/>
          <w:szCs w:val="22"/>
        </w:rPr>
      </w:pPr>
      <w:r w:rsidRPr="00C82B70">
        <w:rPr>
          <w:rFonts w:ascii="Calibri" w:eastAsia="Times New Roman" w:hAnsi="Calibri" w:cs="Calibri"/>
          <w:color w:val="000000"/>
          <w:sz w:val="22"/>
          <w:szCs w:val="22"/>
        </w:rPr>
        <w:t>It is possible to estimate the reduction in the number of patients receiving the relevant combinations of medications for some comparators</w:t>
      </w:r>
    </w:p>
    <w:p w14:paraId="591EF6A3" w14:textId="05371847" w:rsidR="00C82B70" w:rsidRPr="00C82B70" w:rsidRDefault="00C82B70" w:rsidP="00C82B70">
      <w:pPr>
        <w:numPr>
          <w:ilvl w:val="0"/>
          <w:numId w:val="1"/>
        </w:numPr>
        <w:rPr>
          <w:rFonts w:ascii="Calibri" w:eastAsia="Times New Roman" w:hAnsi="Calibri" w:cs="Calibri"/>
          <w:color w:val="000000"/>
          <w:sz w:val="22"/>
          <w:szCs w:val="22"/>
        </w:rPr>
      </w:pPr>
      <w:r w:rsidRPr="00C82B70">
        <w:rPr>
          <w:rFonts w:ascii="Calibri" w:eastAsia="Times New Roman" w:hAnsi="Calibri" w:cs="Calibri"/>
          <w:color w:val="000000"/>
          <w:sz w:val="22"/>
          <w:szCs w:val="22"/>
        </w:rPr>
        <w:t>This involves calculating the difference between the actual number of patients for a comparator in June 2019 and the number that would have been expected had the actual number in June 2017 changed by the same proportion as the denominator by June 2019</w:t>
      </w:r>
    </w:p>
    <w:p w14:paraId="13E8BB76" w14:textId="77777777" w:rsidR="00C82B70" w:rsidRPr="00C82B70" w:rsidRDefault="00C82B70" w:rsidP="00C82B70">
      <w:pPr>
        <w:numPr>
          <w:ilvl w:val="0"/>
          <w:numId w:val="1"/>
        </w:numPr>
        <w:rPr>
          <w:rFonts w:ascii="Calibri" w:eastAsia="Times New Roman" w:hAnsi="Calibri" w:cs="Calibri"/>
          <w:color w:val="000000"/>
          <w:sz w:val="22"/>
          <w:szCs w:val="22"/>
        </w:rPr>
      </w:pPr>
      <w:r w:rsidRPr="00C82B70">
        <w:rPr>
          <w:rFonts w:ascii="Calibri" w:eastAsia="Times New Roman" w:hAnsi="Calibri" w:cs="Calibri"/>
          <w:color w:val="000000"/>
          <w:sz w:val="22"/>
          <w:szCs w:val="22"/>
        </w:rPr>
        <w:t>By June 2019 there were around 58,300 fewer patients receiving two or more DAMN medicines than would have been expected if their numbers had decreased in line with the number of patients receiving one or more DAMN medicines between June 2017 and June 2019</w:t>
      </w:r>
    </w:p>
    <w:p w14:paraId="626C5516" w14:textId="2DAB1A49" w:rsidR="00C82B70" w:rsidRPr="00C82B70" w:rsidRDefault="00C82B70" w:rsidP="00C82B70">
      <w:pPr>
        <w:numPr>
          <w:ilvl w:val="0"/>
          <w:numId w:val="1"/>
        </w:numPr>
        <w:rPr>
          <w:rFonts w:ascii="Calibri" w:eastAsia="Times New Roman" w:hAnsi="Calibri" w:cs="Calibri"/>
          <w:color w:val="000000"/>
          <w:sz w:val="22"/>
          <w:szCs w:val="22"/>
        </w:rPr>
      </w:pPr>
      <w:r w:rsidRPr="00C82B70">
        <w:rPr>
          <w:rFonts w:ascii="Calibri" w:eastAsia="Times New Roman" w:hAnsi="Calibri" w:cs="Calibri"/>
          <w:color w:val="000000"/>
          <w:sz w:val="22"/>
          <w:szCs w:val="22"/>
        </w:rPr>
        <w:t>NOTE: The numbers shown the table below for the different comparators should not be added together into a total as some patients could be included in more than one comparator</w:t>
      </w:r>
    </w:p>
    <w:p w14:paraId="683F573F" w14:textId="77777777" w:rsidR="00C82B70" w:rsidRDefault="00C82B70" w:rsidP="00C82B70">
      <w:pPr>
        <w:rPr>
          <w:rFonts w:ascii="Calibri" w:eastAsia="Times New Roman" w:hAnsi="Calibri" w:cs="Calibri"/>
          <w:color w:val="000000"/>
          <w:sz w:val="22"/>
          <w:szCs w:val="22"/>
        </w:rPr>
      </w:pPr>
    </w:p>
    <w:p w14:paraId="3BCBA068" w14:textId="0DD58E6D" w:rsidR="00C82B70" w:rsidRDefault="00C82B70" w:rsidP="00C82B70">
      <w:pPr>
        <w:rPr>
          <w:rFonts w:ascii="Calibri" w:eastAsia="Times New Roman" w:hAnsi="Calibri" w:cs="Calibri"/>
          <w:color w:val="000000"/>
          <w:sz w:val="22"/>
          <w:szCs w:val="22"/>
        </w:rPr>
      </w:pPr>
    </w:p>
    <w:p w14:paraId="54C59A80" w14:textId="312834D4"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13 – 14</w:t>
      </w:r>
    </w:p>
    <w:p w14:paraId="71D2018E" w14:textId="22D68B1A" w:rsidR="00C82B70"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No presenter notes</w:t>
      </w:r>
    </w:p>
    <w:p w14:paraId="1BA32B41" w14:textId="77777777" w:rsidR="009644BB" w:rsidRPr="009644BB" w:rsidRDefault="009644BB" w:rsidP="009644BB">
      <w:pPr>
        <w:pStyle w:val="ListParagraph"/>
        <w:rPr>
          <w:rFonts w:ascii="Calibri" w:eastAsia="Times New Roman" w:hAnsi="Calibri" w:cs="Calibri"/>
          <w:color w:val="000000"/>
          <w:sz w:val="22"/>
          <w:szCs w:val="22"/>
        </w:rPr>
      </w:pPr>
    </w:p>
    <w:p w14:paraId="53FF168A" w14:textId="7C109434" w:rsidR="00C82B70" w:rsidRDefault="00C82B70" w:rsidP="00C82B70">
      <w:pPr>
        <w:rPr>
          <w:rFonts w:ascii="Calibri" w:eastAsia="Times New Roman" w:hAnsi="Calibri" w:cs="Calibri"/>
          <w:color w:val="000000"/>
          <w:sz w:val="22"/>
          <w:szCs w:val="22"/>
        </w:rPr>
      </w:pPr>
    </w:p>
    <w:p w14:paraId="37EB4A30" w14:textId="4A0CF8D3"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15: Prescribing we should be concerned about…</w:t>
      </w:r>
    </w:p>
    <w:p w14:paraId="6EB2A325" w14:textId="77777777" w:rsidR="00C82B70" w:rsidRDefault="00C82B70" w:rsidP="00C82B70">
      <w:pPr>
        <w:rPr>
          <w:rFonts w:ascii="Calibri" w:eastAsia="Times New Roman" w:hAnsi="Calibri" w:cs="Calibri"/>
          <w:color w:val="000000"/>
          <w:sz w:val="22"/>
          <w:szCs w:val="22"/>
        </w:rPr>
      </w:pPr>
    </w:p>
    <w:p w14:paraId="6A0C2963" w14:textId="7F73DBDD" w:rsidR="00C82B70" w:rsidRPr="009644BB"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b/>
          <w:bCs/>
          <w:color w:val="000000"/>
          <w:sz w:val="22"/>
          <w:szCs w:val="22"/>
        </w:rPr>
        <w:t>Ask attendees which drugs they think are</w:t>
      </w:r>
      <w:r w:rsidRPr="009644BB">
        <w:rPr>
          <w:rFonts w:ascii="Calibri" w:eastAsia="Times New Roman" w:hAnsi="Calibri" w:cs="Calibri"/>
          <w:color w:val="000000"/>
          <w:sz w:val="22"/>
          <w:szCs w:val="22"/>
        </w:rPr>
        <w:t xml:space="preserve"> red flag drugs – once again, it is important to remind your audience that increasing age increases the risk with any of this</w:t>
      </w:r>
    </w:p>
    <w:p w14:paraId="6A523777" w14:textId="7CCFAEC7" w:rsidR="00C82B70" w:rsidRPr="009644BB" w:rsidRDefault="00C82B70" w:rsidP="000C1BC4">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Essentially</w:t>
      </w:r>
      <w:r w:rsidR="009644BB" w:rsidRPr="009644BB">
        <w:rPr>
          <w:rFonts w:ascii="Calibri" w:eastAsia="Times New Roman" w:hAnsi="Calibri" w:cs="Calibri"/>
          <w:color w:val="000000"/>
          <w:sz w:val="22"/>
          <w:szCs w:val="22"/>
        </w:rPr>
        <w:t>,</w:t>
      </w:r>
      <w:r w:rsidRPr="009644BB">
        <w:rPr>
          <w:rFonts w:ascii="Calibri" w:eastAsia="Times New Roman" w:hAnsi="Calibri" w:cs="Calibri"/>
          <w:color w:val="000000"/>
          <w:sz w:val="22"/>
          <w:szCs w:val="22"/>
        </w:rPr>
        <w:t xml:space="preserve"> they are the ones that we know through the literature cause the greatest number of unplanned hospital admissions </w:t>
      </w:r>
      <w:r w:rsidR="009644BB" w:rsidRPr="009644BB">
        <w:rPr>
          <w:rFonts w:ascii="Calibri" w:eastAsia="Times New Roman" w:hAnsi="Calibri" w:cs="Calibri"/>
          <w:color w:val="000000"/>
          <w:sz w:val="22"/>
          <w:szCs w:val="22"/>
        </w:rPr>
        <w:t xml:space="preserve">such as </w:t>
      </w:r>
      <w:r w:rsidRPr="009644BB">
        <w:rPr>
          <w:rFonts w:ascii="Calibri" w:eastAsia="Times New Roman" w:hAnsi="Calibri" w:cs="Calibri"/>
          <w:color w:val="000000"/>
          <w:sz w:val="22"/>
          <w:szCs w:val="22"/>
        </w:rPr>
        <w:t>NSAIDs, Anticoagulants, Anti-platelets</w:t>
      </w:r>
      <w:r w:rsidR="009644BB">
        <w:rPr>
          <w:rFonts w:ascii="Calibri" w:eastAsia="Times New Roman" w:hAnsi="Calibri" w:cs="Calibri"/>
          <w:color w:val="000000"/>
          <w:sz w:val="22"/>
          <w:szCs w:val="22"/>
        </w:rPr>
        <w:t xml:space="preserve"> and</w:t>
      </w:r>
      <w:r w:rsidRPr="009644BB">
        <w:rPr>
          <w:rFonts w:ascii="Calibri" w:eastAsia="Times New Roman" w:hAnsi="Calibri" w:cs="Calibri"/>
          <w:color w:val="000000"/>
          <w:sz w:val="22"/>
          <w:szCs w:val="22"/>
        </w:rPr>
        <w:t xml:space="preserve"> diuretics </w:t>
      </w:r>
    </w:p>
    <w:p w14:paraId="6F26B528" w14:textId="77777777" w:rsidR="00C82B70" w:rsidRPr="009644BB"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Practitioners should always think about “red flag” drugs in the same way as diagnostic red flags</w:t>
      </w:r>
    </w:p>
    <w:p w14:paraId="3B00B312" w14:textId="77777777" w:rsidR="00C82B70" w:rsidRPr="009644BB" w:rsidRDefault="00C82B70"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color w:val="000000"/>
          <w:sz w:val="22"/>
          <w:szCs w:val="22"/>
        </w:rPr>
        <w:t>Link why NSAID audit part of the QOF QI work</w:t>
      </w:r>
    </w:p>
    <w:p w14:paraId="24E296FA" w14:textId="08A66B4C" w:rsidR="00C82B70" w:rsidRPr="009644BB" w:rsidRDefault="009644BB" w:rsidP="009644BB">
      <w:pPr>
        <w:pStyle w:val="ListParagraph"/>
        <w:numPr>
          <w:ilvl w:val="0"/>
          <w:numId w:val="3"/>
        </w:numPr>
        <w:rPr>
          <w:rFonts w:ascii="Calibri" w:eastAsia="Times New Roman" w:hAnsi="Calibri" w:cs="Calibri"/>
          <w:color w:val="000000"/>
          <w:sz w:val="22"/>
          <w:szCs w:val="22"/>
        </w:rPr>
      </w:pPr>
      <w:r w:rsidRPr="009644BB">
        <w:rPr>
          <w:rFonts w:ascii="Calibri" w:eastAsia="Times New Roman" w:hAnsi="Calibri" w:cs="Calibri"/>
          <w:b/>
          <w:bCs/>
          <w:color w:val="000000"/>
          <w:sz w:val="22"/>
          <w:szCs w:val="22"/>
        </w:rPr>
        <w:t>Ask attendees which drugs they think are</w:t>
      </w:r>
      <w:r w:rsidRPr="009644B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c</w:t>
      </w:r>
      <w:r w:rsidR="00C82B70" w:rsidRPr="009644BB">
        <w:rPr>
          <w:rFonts w:ascii="Calibri" w:eastAsia="Times New Roman" w:hAnsi="Calibri" w:cs="Calibri"/>
          <w:color w:val="000000"/>
          <w:sz w:val="22"/>
          <w:szCs w:val="22"/>
        </w:rPr>
        <w:t xml:space="preserve">oncerning combinations </w:t>
      </w:r>
    </w:p>
    <w:p w14:paraId="013A0ECF" w14:textId="77777777" w:rsidR="009644BB" w:rsidRDefault="009644BB" w:rsidP="00C82B70">
      <w:pPr>
        <w:rPr>
          <w:rFonts w:ascii="Calibri" w:eastAsia="Times New Roman" w:hAnsi="Calibri" w:cs="Calibri"/>
          <w:b/>
          <w:bCs/>
          <w:color w:val="000000"/>
          <w:sz w:val="22"/>
          <w:szCs w:val="22"/>
        </w:rPr>
      </w:pPr>
    </w:p>
    <w:p w14:paraId="1A1BBBCA" w14:textId="7FB4C229" w:rsidR="00C82B70" w:rsidRPr="00C82B70" w:rsidRDefault="009644BB" w:rsidP="00C82B70">
      <w:pPr>
        <w:rPr>
          <w:rFonts w:ascii="Calibri" w:eastAsia="Times New Roman" w:hAnsi="Calibri" w:cs="Calibri"/>
          <w:color w:val="000000"/>
          <w:sz w:val="22"/>
          <w:szCs w:val="22"/>
        </w:rPr>
      </w:pPr>
      <w:r w:rsidRPr="009644BB">
        <w:rPr>
          <w:rFonts w:ascii="Calibri" w:eastAsia="Times New Roman" w:hAnsi="Calibri" w:cs="Calibri"/>
          <w:color w:val="000000"/>
          <w:sz w:val="22"/>
          <w:szCs w:val="22"/>
        </w:rPr>
        <w:t xml:space="preserve">Examples to prompt the discussion could include: </w:t>
      </w:r>
      <w:r w:rsidR="00C82B70" w:rsidRPr="00C82B70">
        <w:rPr>
          <w:rFonts w:ascii="Calibri" w:eastAsia="Times New Roman" w:hAnsi="Calibri" w:cs="Calibri"/>
          <w:color w:val="000000"/>
          <w:sz w:val="22"/>
          <w:szCs w:val="22"/>
        </w:rPr>
        <w:t xml:space="preserve">DAMN drugs (Diuretics, ACEI/Angiotensin antagonists/ Metformin / NSAIDs – Explain use of </w:t>
      </w:r>
      <w:proofErr w:type="spellStart"/>
      <w:r w:rsidR="00C82B70" w:rsidRPr="00C82B70">
        <w:rPr>
          <w:rFonts w:ascii="Calibri" w:eastAsia="Times New Roman" w:hAnsi="Calibri" w:cs="Calibri"/>
          <w:color w:val="000000"/>
          <w:sz w:val="22"/>
          <w:szCs w:val="22"/>
        </w:rPr>
        <w:t>CrCl</w:t>
      </w:r>
      <w:proofErr w:type="spellEnd"/>
      <w:r w:rsidR="00C82B70" w:rsidRPr="00C82B70">
        <w:rPr>
          <w:rFonts w:ascii="Calibri" w:eastAsia="Times New Roman" w:hAnsi="Calibri" w:cs="Calibri"/>
          <w:color w:val="000000"/>
          <w:sz w:val="22"/>
          <w:szCs w:val="22"/>
        </w:rPr>
        <w:t xml:space="preserve"> calculator on S1 / EMIS </w:t>
      </w:r>
    </w:p>
    <w:p w14:paraId="5963099A" w14:textId="5489A265"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Anticholinergics – CNS drugs e.g. opiates / GABA / Antidepressants / Antipsychotics / Anxiolytics </w:t>
      </w:r>
    </w:p>
    <w:p w14:paraId="751BFF8F" w14:textId="77777777" w:rsidR="009644BB" w:rsidRDefault="009644BB" w:rsidP="00C82B70">
      <w:pPr>
        <w:rPr>
          <w:rFonts w:ascii="Calibri" w:eastAsia="Times New Roman" w:hAnsi="Calibri" w:cs="Calibri"/>
          <w:i/>
          <w:iCs/>
          <w:color w:val="000000"/>
          <w:sz w:val="22"/>
          <w:szCs w:val="22"/>
        </w:rPr>
      </w:pPr>
    </w:p>
    <w:p w14:paraId="47742D50" w14:textId="321222D9"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i/>
          <w:iCs/>
          <w:color w:val="000000"/>
          <w:sz w:val="22"/>
          <w:szCs w:val="22"/>
        </w:rPr>
        <w:t xml:space="preserve">Note: PINCER or the NHS BSA </w:t>
      </w:r>
      <w:r w:rsidR="009644BB">
        <w:rPr>
          <w:rFonts w:ascii="Calibri" w:eastAsia="Times New Roman" w:hAnsi="Calibri" w:cs="Calibri"/>
          <w:i/>
          <w:iCs/>
          <w:color w:val="000000"/>
          <w:sz w:val="22"/>
          <w:szCs w:val="22"/>
        </w:rPr>
        <w:t xml:space="preserve">National </w:t>
      </w:r>
      <w:r w:rsidRPr="00C82B70">
        <w:rPr>
          <w:rFonts w:ascii="Calibri" w:eastAsia="Times New Roman" w:hAnsi="Calibri" w:cs="Calibri"/>
          <w:i/>
          <w:iCs/>
          <w:color w:val="000000"/>
          <w:sz w:val="22"/>
          <w:szCs w:val="22"/>
        </w:rPr>
        <w:t>Polypharmacy Prescribing Comparators will help you to identify these types of patients in your practice.</w:t>
      </w:r>
      <w:r w:rsidR="00DE4272">
        <w:rPr>
          <w:rFonts w:ascii="Calibri" w:eastAsia="Times New Roman" w:hAnsi="Calibri" w:cs="Calibri"/>
          <w:i/>
          <w:iCs/>
          <w:color w:val="000000"/>
          <w:sz w:val="22"/>
          <w:szCs w:val="22"/>
        </w:rPr>
        <w:t xml:space="preserve"> (This work is a 2019 HSJ Patient Safety Award winner).</w:t>
      </w:r>
    </w:p>
    <w:p w14:paraId="7B5CE4E2" w14:textId="77777777" w:rsidR="00C82B70" w:rsidRDefault="00C82B70" w:rsidP="00C82B70">
      <w:pPr>
        <w:rPr>
          <w:rFonts w:ascii="Calibri" w:eastAsia="Times New Roman" w:hAnsi="Calibri" w:cs="Calibri"/>
          <w:color w:val="000000"/>
          <w:sz w:val="22"/>
          <w:szCs w:val="22"/>
        </w:rPr>
      </w:pPr>
    </w:p>
    <w:p w14:paraId="7C17390E" w14:textId="21F4C35A" w:rsidR="00C82B70" w:rsidRDefault="00C82B70" w:rsidP="00C82B70">
      <w:pPr>
        <w:rPr>
          <w:rFonts w:ascii="Calibri" w:eastAsia="Times New Roman" w:hAnsi="Calibri" w:cs="Calibri"/>
          <w:color w:val="000000"/>
          <w:sz w:val="22"/>
          <w:szCs w:val="22"/>
        </w:rPr>
      </w:pPr>
    </w:p>
    <w:p w14:paraId="45F71183" w14:textId="44AD9459" w:rsidR="00C82B70"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16: Victim or villain?</w:t>
      </w:r>
    </w:p>
    <w:p w14:paraId="5220F704" w14:textId="77777777" w:rsidR="00DE4272" w:rsidRPr="004A02D5" w:rsidRDefault="00DE4272" w:rsidP="00C82B70">
      <w:pPr>
        <w:rPr>
          <w:rFonts w:ascii="Calibri" w:eastAsia="Times New Roman" w:hAnsi="Calibri" w:cs="Calibri"/>
          <w:b/>
          <w:bCs/>
          <w:color w:val="000000"/>
        </w:rPr>
      </w:pPr>
    </w:p>
    <w:p w14:paraId="380702CC" w14:textId="4F39569F" w:rsidR="00C82B70" w:rsidRPr="00DE4272" w:rsidRDefault="00DE4272" w:rsidP="00DE4272">
      <w:pPr>
        <w:pStyle w:val="ListParagraph"/>
        <w:numPr>
          <w:ilvl w:val="0"/>
          <w:numId w:val="5"/>
        </w:numPr>
        <w:rPr>
          <w:rFonts w:ascii="Calibri" w:eastAsia="Times New Roman" w:hAnsi="Calibri" w:cs="Calibri"/>
          <w:color w:val="000000"/>
          <w:sz w:val="22"/>
          <w:szCs w:val="22"/>
        </w:rPr>
      </w:pPr>
      <w:r>
        <w:rPr>
          <w:rFonts w:ascii="Calibri" w:eastAsia="Times New Roman" w:hAnsi="Calibri" w:cs="Calibri"/>
          <w:color w:val="000000"/>
          <w:sz w:val="22"/>
          <w:szCs w:val="22"/>
        </w:rPr>
        <w:t>Remember, we are</w:t>
      </w:r>
      <w:r w:rsidR="00C82B70" w:rsidRPr="00DE4272">
        <w:rPr>
          <w:rFonts w:ascii="Calibri" w:eastAsia="Times New Roman" w:hAnsi="Calibri" w:cs="Calibri"/>
          <w:color w:val="000000"/>
          <w:sz w:val="22"/>
          <w:szCs w:val="22"/>
        </w:rPr>
        <w:t xml:space="preserve"> all part of a complex and over-burdened system so no one is at fault specifically and together we can make a difference</w:t>
      </w:r>
    </w:p>
    <w:p w14:paraId="43869687" w14:textId="25F879EB" w:rsidR="00C82B70" w:rsidRDefault="00C82B70" w:rsidP="00C82B70">
      <w:pPr>
        <w:rPr>
          <w:rFonts w:ascii="Calibri" w:eastAsia="Times New Roman" w:hAnsi="Calibri" w:cs="Calibri"/>
          <w:color w:val="000000"/>
          <w:sz w:val="22"/>
          <w:szCs w:val="22"/>
        </w:rPr>
      </w:pPr>
    </w:p>
    <w:p w14:paraId="4869FDC8" w14:textId="6334A12A" w:rsidR="00C82B70"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17</w:t>
      </w:r>
    </w:p>
    <w:p w14:paraId="7517B773" w14:textId="29E5A5E6" w:rsidR="00DE4272" w:rsidRDefault="00DE4272" w:rsidP="00C82B70">
      <w:pPr>
        <w:rPr>
          <w:rFonts w:ascii="Calibri" w:eastAsia="Times New Roman" w:hAnsi="Calibri" w:cs="Calibri"/>
          <w:b/>
          <w:bCs/>
          <w:color w:val="000000"/>
        </w:rPr>
      </w:pPr>
    </w:p>
    <w:p w14:paraId="6A1A2A6A" w14:textId="3BFA9090" w:rsidR="00DE4272" w:rsidRPr="00DE4272" w:rsidRDefault="00DE4272"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rPr>
        <w:t>No presenter notes</w:t>
      </w:r>
    </w:p>
    <w:p w14:paraId="37D608E5" w14:textId="292018BA" w:rsidR="00C82B70" w:rsidRDefault="00C82B70" w:rsidP="00C82B70">
      <w:pPr>
        <w:rPr>
          <w:rFonts w:ascii="Calibri" w:eastAsia="Times New Roman" w:hAnsi="Calibri" w:cs="Calibri"/>
          <w:color w:val="000000"/>
          <w:sz w:val="22"/>
          <w:szCs w:val="22"/>
        </w:rPr>
      </w:pPr>
    </w:p>
    <w:p w14:paraId="4F6161C0" w14:textId="0FCCF097"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18: Behavioural Tools to address problematic polypharmacy</w:t>
      </w:r>
      <w:r w:rsidRPr="004A02D5">
        <w:rPr>
          <w:rFonts w:ascii="Calibri" w:eastAsia="Times New Roman" w:hAnsi="Calibri" w:cs="Calibri"/>
          <w:b/>
          <w:bCs/>
          <w:color w:val="000000"/>
        </w:rPr>
        <w:tab/>
      </w:r>
    </w:p>
    <w:p w14:paraId="10D3363A" w14:textId="77777777" w:rsidR="00DE4272" w:rsidRDefault="00DE4272" w:rsidP="00C82B70">
      <w:pPr>
        <w:rPr>
          <w:rFonts w:ascii="Calibri" w:eastAsia="Times New Roman" w:hAnsi="Calibri" w:cs="Calibri"/>
          <w:color w:val="000000"/>
          <w:sz w:val="22"/>
          <w:szCs w:val="22"/>
          <w:u w:val="single"/>
        </w:rPr>
      </w:pPr>
    </w:p>
    <w:p w14:paraId="074A5339" w14:textId="24C4112A" w:rsidR="00C82B70" w:rsidRPr="00C82B70" w:rsidRDefault="00C82B70" w:rsidP="00C82B70">
      <w:pPr>
        <w:rPr>
          <w:rFonts w:ascii="Calibri" w:eastAsia="Times New Roman" w:hAnsi="Calibri" w:cs="Calibri"/>
          <w:color w:val="000000"/>
          <w:sz w:val="22"/>
          <w:szCs w:val="22"/>
          <w:u w:val="single"/>
        </w:rPr>
      </w:pPr>
      <w:r w:rsidRPr="00C82B70">
        <w:rPr>
          <w:rFonts w:ascii="Calibri" w:eastAsia="Times New Roman" w:hAnsi="Calibri" w:cs="Calibri"/>
          <w:color w:val="000000"/>
          <w:sz w:val="22"/>
          <w:szCs w:val="22"/>
          <w:u w:val="single"/>
        </w:rPr>
        <w:t>Links to websites:</w:t>
      </w:r>
    </w:p>
    <w:p w14:paraId="0EB1982E" w14:textId="77777777" w:rsidR="00DE4272" w:rsidRDefault="00DE4272" w:rsidP="00C82B70">
      <w:pPr>
        <w:rPr>
          <w:rFonts w:ascii="Calibri" w:eastAsia="Times New Roman" w:hAnsi="Calibri" w:cs="Calibri"/>
          <w:color w:val="000000"/>
          <w:sz w:val="22"/>
          <w:szCs w:val="22"/>
          <w:lang w:val="en-US"/>
        </w:rPr>
      </w:pPr>
    </w:p>
    <w:p w14:paraId="49676EEC" w14:textId="63394EA5"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Magic (</w:t>
      </w:r>
      <w:hyperlink r:id="rId14" w:history="1">
        <w:r w:rsidR="00DE4272" w:rsidRPr="00C82B70">
          <w:rPr>
            <w:rStyle w:val="Hyperlink"/>
            <w:rFonts w:ascii="Calibri" w:eastAsia="Times New Roman" w:hAnsi="Calibri" w:cs="Calibri"/>
            <w:sz w:val="22"/>
            <w:szCs w:val="22"/>
            <w:lang w:val="en-US"/>
          </w:rPr>
          <w:t>https://www.health.org.uk/funding-and-partnerships/programme/magic-shared-decision-making</w:t>
        </w:r>
      </w:hyperlink>
      <w:r w:rsidR="00DE4272">
        <w:rPr>
          <w:rFonts w:ascii="Calibri" w:eastAsia="Times New Roman" w:hAnsi="Calibri" w:cs="Calibri"/>
          <w:color w:val="000000"/>
          <w:sz w:val="22"/>
          <w:szCs w:val="22"/>
          <w:lang w:val="en-US"/>
        </w:rPr>
        <w:t>)</w:t>
      </w:r>
    </w:p>
    <w:p w14:paraId="68C96ED7" w14:textId="77777777" w:rsidR="00DE4272" w:rsidRDefault="00DE4272" w:rsidP="00C82B70">
      <w:pPr>
        <w:rPr>
          <w:rFonts w:ascii="Calibri" w:eastAsia="Times New Roman" w:hAnsi="Calibri" w:cs="Calibri"/>
          <w:color w:val="000000"/>
          <w:sz w:val="22"/>
          <w:szCs w:val="22"/>
          <w:lang w:val="en-US"/>
        </w:rPr>
      </w:pPr>
    </w:p>
    <w:p w14:paraId="20173CF0" w14:textId="1C08F2C6"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 xml:space="preserve">Me &amp; My Medicines </w:t>
      </w:r>
      <w:r w:rsidRPr="00C82B70">
        <w:rPr>
          <w:rStyle w:val="Hyperlink"/>
        </w:rPr>
        <w:t>(</w:t>
      </w:r>
      <w:hyperlink r:id="rId15" w:history="1">
        <w:r w:rsidRPr="00C82B70">
          <w:rPr>
            <w:rStyle w:val="Hyperlink"/>
            <w:rFonts w:ascii="Calibri" w:eastAsia="Times New Roman" w:hAnsi="Calibri" w:cs="Calibri"/>
            <w:sz w:val="22"/>
            <w:szCs w:val="22"/>
          </w:rPr>
          <w:t>https://meandmymedicines.org.uk/</w:t>
        </w:r>
      </w:hyperlink>
      <w:r w:rsidR="00DE4272" w:rsidRPr="00DE4272">
        <w:rPr>
          <w:rStyle w:val="Hyperlink"/>
        </w:rPr>
        <w:t xml:space="preserve"> </w:t>
      </w:r>
      <w:r w:rsidR="00DE4272" w:rsidRPr="00DE4272">
        <w:rPr>
          <w:rFonts w:ascii="Calibri" w:eastAsia="Times New Roman" w:hAnsi="Calibri" w:cs="Calibri"/>
          <w:color w:val="000000"/>
          <w:sz w:val="22"/>
          <w:szCs w:val="22"/>
          <w:lang w:val="en-US"/>
        </w:rPr>
        <w:t xml:space="preserve">and </w:t>
      </w:r>
      <w:hyperlink r:id="rId16" w:history="1">
        <w:r w:rsidR="00DE4272" w:rsidRPr="00DE4272">
          <w:rPr>
            <w:rStyle w:val="Hyperlink"/>
            <w:rFonts w:ascii="Calibri" w:eastAsia="Times New Roman" w:hAnsi="Calibri" w:cs="Calibri"/>
            <w:sz w:val="22"/>
            <w:szCs w:val="22"/>
          </w:rPr>
          <w:t>https://wessexahsn.org.uk/projects/321/me-and-my-medicines</w:t>
        </w:r>
      </w:hyperlink>
      <w:r w:rsidR="00DE4272" w:rsidRPr="00DE4272">
        <w:rPr>
          <w:rStyle w:val="Hyperlink"/>
          <w:rFonts w:ascii="Calibri" w:eastAsia="Times New Roman" w:hAnsi="Calibri" w:cs="Calibri"/>
          <w:sz w:val="22"/>
          <w:szCs w:val="22"/>
        </w:rPr>
        <w:t>)</w:t>
      </w:r>
    </w:p>
    <w:p w14:paraId="7AE9915A" w14:textId="77777777" w:rsidR="00DE4272" w:rsidRDefault="00DE4272" w:rsidP="00C82B70">
      <w:pPr>
        <w:rPr>
          <w:rFonts w:ascii="Calibri" w:eastAsia="Times New Roman" w:hAnsi="Calibri" w:cs="Calibri"/>
          <w:color w:val="000000"/>
          <w:sz w:val="22"/>
          <w:szCs w:val="22"/>
          <w:lang w:val="en-US"/>
        </w:rPr>
      </w:pPr>
    </w:p>
    <w:p w14:paraId="36897790" w14:textId="6C54590F"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DES (</w:t>
      </w:r>
      <w:hyperlink r:id="rId17" w:history="1">
        <w:r w:rsidRPr="00C82B70">
          <w:rPr>
            <w:rStyle w:val="Hyperlink"/>
            <w:rFonts w:ascii="Calibri" w:eastAsia="Times New Roman" w:hAnsi="Calibri" w:cs="Calibri"/>
            <w:sz w:val="22"/>
            <w:szCs w:val="22"/>
          </w:rPr>
          <w:t>https://www.england.nhs.uk/wp-content/uploads/2019/03/network-contract-des-guidance-2019-20-v2.pdf</w:t>
        </w:r>
      </w:hyperlink>
      <w:r w:rsidRPr="00C82B70">
        <w:rPr>
          <w:rFonts w:ascii="Calibri" w:eastAsia="Times New Roman" w:hAnsi="Calibri" w:cs="Calibri"/>
          <w:color w:val="000000"/>
          <w:sz w:val="22"/>
          <w:szCs w:val="22"/>
        </w:rPr>
        <w:t>)</w:t>
      </w:r>
    </w:p>
    <w:p w14:paraId="3C00233B" w14:textId="77777777" w:rsidR="00DE4272" w:rsidRDefault="00DE4272" w:rsidP="00C82B70">
      <w:pPr>
        <w:rPr>
          <w:rFonts w:ascii="Calibri" w:eastAsia="Times New Roman" w:hAnsi="Calibri" w:cs="Calibri"/>
          <w:color w:val="000000"/>
          <w:sz w:val="22"/>
          <w:szCs w:val="22"/>
          <w:lang w:val="en-US"/>
        </w:rPr>
      </w:pPr>
    </w:p>
    <w:p w14:paraId="52BCA7E0" w14:textId="12AE18F5"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NHS Scotland (</w:t>
      </w:r>
      <w:hyperlink r:id="rId18" w:history="1">
        <w:r w:rsidRPr="00C82B70">
          <w:rPr>
            <w:rStyle w:val="Hyperlink"/>
            <w:rFonts w:ascii="Calibri" w:eastAsia="Times New Roman" w:hAnsi="Calibri" w:cs="Calibri"/>
            <w:sz w:val="22"/>
            <w:szCs w:val="22"/>
            <w:lang w:val="en-US"/>
          </w:rPr>
          <w:t>https://www.gov.scot/publications/good-practice-shared-decision-making-consent/</w:t>
        </w:r>
      </w:hyperlink>
      <w:r w:rsidRPr="00C82B70">
        <w:rPr>
          <w:rFonts w:ascii="Calibri" w:eastAsia="Times New Roman" w:hAnsi="Calibri" w:cs="Calibri"/>
          <w:color w:val="000000"/>
          <w:sz w:val="22"/>
          <w:szCs w:val="22"/>
          <w:lang w:val="en-US"/>
        </w:rPr>
        <w:t>)</w:t>
      </w:r>
    </w:p>
    <w:p w14:paraId="443697D0" w14:textId="7873E5A6" w:rsidR="00C82B70" w:rsidRDefault="00C82B70" w:rsidP="00C82B70">
      <w:pPr>
        <w:rPr>
          <w:rFonts w:ascii="Calibri" w:eastAsia="Times New Roman" w:hAnsi="Calibri" w:cs="Calibri"/>
          <w:color w:val="000000"/>
          <w:sz w:val="22"/>
          <w:szCs w:val="22"/>
        </w:rPr>
      </w:pPr>
    </w:p>
    <w:p w14:paraId="113E0094" w14:textId="77777777" w:rsidR="00DE4272" w:rsidRDefault="00DE4272" w:rsidP="00C82B70">
      <w:pPr>
        <w:rPr>
          <w:rFonts w:ascii="Calibri" w:eastAsia="Times New Roman" w:hAnsi="Calibri" w:cs="Calibri"/>
          <w:color w:val="000000"/>
          <w:sz w:val="22"/>
          <w:szCs w:val="22"/>
        </w:rPr>
      </w:pPr>
    </w:p>
    <w:p w14:paraId="080080A4" w14:textId="42313298"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19: Technical Tools to address problematic polypharmacy</w:t>
      </w:r>
    </w:p>
    <w:p w14:paraId="7254AA86" w14:textId="77777777" w:rsidR="00DE4272" w:rsidRDefault="00DE4272" w:rsidP="00C82B70">
      <w:pPr>
        <w:rPr>
          <w:rFonts w:ascii="Calibri" w:eastAsia="Times New Roman" w:hAnsi="Calibri" w:cs="Calibri"/>
          <w:color w:val="000000"/>
          <w:sz w:val="22"/>
          <w:szCs w:val="22"/>
        </w:rPr>
      </w:pPr>
    </w:p>
    <w:p w14:paraId="7EAB2B3A" w14:textId="779A16B6"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Explain there are more explicit tools e.g. Stop Start but to keep it simple these are the 2 suggested approaches as we feel they are very pragmatic</w:t>
      </w:r>
      <w:r w:rsidR="00DE4272">
        <w:rPr>
          <w:rFonts w:ascii="Calibri" w:eastAsia="Times New Roman" w:hAnsi="Calibri" w:cs="Calibri"/>
          <w:color w:val="000000"/>
          <w:sz w:val="22"/>
          <w:szCs w:val="22"/>
        </w:rPr>
        <w:t>;</w:t>
      </w:r>
      <w:r w:rsidRPr="00C82B70">
        <w:rPr>
          <w:rFonts w:ascii="Calibri" w:eastAsia="Times New Roman" w:hAnsi="Calibri" w:cs="Calibri"/>
          <w:color w:val="000000"/>
          <w:sz w:val="22"/>
          <w:szCs w:val="22"/>
        </w:rPr>
        <w:t xml:space="preserve"> </w:t>
      </w:r>
    </w:p>
    <w:p w14:paraId="07A643B0" w14:textId="77777777" w:rsidR="00C82B70" w:rsidRPr="00C82B70" w:rsidRDefault="00C82B70" w:rsidP="00C82B70">
      <w:pPr>
        <w:numPr>
          <w:ilvl w:val="0"/>
          <w:numId w:val="2"/>
        </w:num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 xml:space="preserve">Scottish Polypharmacy guidance is current gold standard for a person-centered consultation with evidence for risks vs benefits for stopping lots of common medicines </w:t>
      </w:r>
    </w:p>
    <w:p w14:paraId="107F74E8" w14:textId="77777777" w:rsidR="00C82B70" w:rsidRPr="00C82B70" w:rsidRDefault="00C82B70" w:rsidP="00C82B70">
      <w:pPr>
        <w:numPr>
          <w:ilvl w:val="0"/>
          <w:numId w:val="2"/>
        </w:num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No Tears model </w:t>
      </w:r>
      <w:r w:rsidRPr="00C82B70">
        <w:rPr>
          <w:rFonts w:ascii="Calibri" w:eastAsia="Times New Roman" w:hAnsi="Calibri" w:cs="Calibri"/>
          <w:color w:val="000000"/>
          <w:sz w:val="22"/>
          <w:szCs w:val="22"/>
          <w:lang w:val="en-US"/>
        </w:rPr>
        <w:t xml:space="preserve">simple designed by a GP pre person-centered care in 2004 </w:t>
      </w:r>
    </w:p>
    <w:p w14:paraId="746EB806" w14:textId="77777777" w:rsidR="00C82B70" w:rsidRDefault="00C82B70" w:rsidP="00C82B70">
      <w:pPr>
        <w:rPr>
          <w:rFonts w:ascii="Calibri" w:eastAsia="Times New Roman" w:hAnsi="Calibri" w:cs="Calibri"/>
          <w:color w:val="000000"/>
          <w:sz w:val="22"/>
          <w:szCs w:val="22"/>
        </w:rPr>
      </w:pPr>
    </w:p>
    <w:p w14:paraId="6897DAB8" w14:textId="24AEBAC8" w:rsidR="00C82B70" w:rsidRDefault="00C82B70" w:rsidP="00C82B70">
      <w:pPr>
        <w:rPr>
          <w:rFonts w:ascii="Calibri" w:eastAsia="Times New Roman" w:hAnsi="Calibri" w:cs="Calibri"/>
          <w:color w:val="000000"/>
          <w:sz w:val="22"/>
          <w:szCs w:val="22"/>
        </w:rPr>
      </w:pPr>
    </w:p>
    <w:p w14:paraId="6CDD9DD4" w14:textId="77777777" w:rsidR="00DE4272" w:rsidRDefault="00DE4272">
      <w:pPr>
        <w:rPr>
          <w:rFonts w:ascii="Calibri" w:eastAsia="Times New Roman" w:hAnsi="Calibri" w:cs="Calibri"/>
          <w:b/>
          <w:bCs/>
          <w:color w:val="000000"/>
        </w:rPr>
      </w:pPr>
      <w:r>
        <w:rPr>
          <w:rFonts w:ascii="Calibri" w:eastAsia="Times New Roman" w:hAnsi="Calibri" w:cs="Calibri"/>
          <w:b/>
          <w:bCs/>
          <w:color w:val="000000"/>
        </w:rPr>
        <w:br w:type="page"/>
      </w:r>
    </w:p>
    <w:p w14:paraId="5E4060BF" w14:textId="07D7622A"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20: Technical Tools to address problematic polypharmacy</w:t>
      </w:r>
    </w:p>
    <w:p w14:paraId="080167FC" w14:textId="77777777" w:rsidR="00DE4272" w:rsidRDefault="00DE4272" w:rsidP="00C82B70">
      <w:pPr>
        <w:rPr>
          <w:rFonts w:ascii="Calibri" w:eastAsia="Times New Roman" w:hAnsi="Calibri" w:cs="Calibri"/>
          <w:color w:val="000000"/>
          <w:sz w:val="22"/>
          <w:szCs w:val="22"/>
        </w:rPr>
      </w:pPr>
    </w:p>
    <w:p w14:paraId="0141DFB9" w14:textId="678A93E8" w:rsidR="00C82B70" w:rsidRDefault="00C82B70" w:rsidP="00C82B70">
      <w:pPr>
        <w:rPr>
          <w:rFonts w:ascii="Calibri" w:eastAsia="Times New Roman" w:hAnsi="Calibri" w:cs="Calibri"/>
          <w:color w:val="000000"/>
          <w:sz w:val="22"/>
          <w:szCs w:val="22"/>
        </w:rPr>
      </w:pPr>
      <w:r>
        <w:rPr>
          <w:rFonts w:ascii="Calibri" w:eastAsia="Times New Roman" w:hAnsi="Calibri" w:cs="Calibri"/>
          <w:color w:val="000000"/>
          <w:sz w:val="22"/>
          <w:szCs w:val="22"/>
        </w:rPr>
        <w:t>No Tears Model</w:t>
      </w:r>
      <w:r w:rsidR="00DE4272">
        <w:rPr>
          <w:rFonts w:ascii="Calibri" w:eastAsia="Times New Roman" w:hAnsi="Calibri" w:cs="Calibri"/>
          <w:color w:val="000000"/>
          <w:sz w:val="22"/>
          <w:szCs w:val="22"/>
        </w:rPr>
        <w:t xml:space="preserve"> (detailed explanation)</w:t>
      </w:r>
    </w:p>
    <w:p w14:paraId="548C6532" w14:textId="77777777" w:rsidR="00DE4272" w:rsidRDefault="00DE4272" w:rsidP="00C82B70">
      <w:pPr>
        <w:rPr>
          <w:rFonts w:ascii="Calibri" w:eastAsia="Times New Roman" w:hAnsi="Calibri" w:cs="Calibri"/>
          <w:b/>
          <w:bCs/>
          <w:color w:val="000000"/>
          <w:sz w:val="22"/>
          <w:szCs w:val="22"/>
        </w:rPr>
      </w:pPr>
    </w:p>
    <w:p w14:paraId="3C6D382C" w14:textId="0CFCAD2E"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rPr>
        <w:t xml:space="preserve">NOTEARS </w:t>
      </w:r>
    </w:p>
    <w:p w14:paraId="5E77AD0E" w14:textId="77777777" w:rsidR="00DE4272" w:rsidRDefault="00DE4272" w:rsidP="00C82B70">
      <w:pPr>
        <w:rPr>
          <w:rFonts w:ascii="Calibri" w:eastAsia="Times New Roman" w:hAnsi="Calibri" w:cs="Calibri"/>
          <w:b/>
          <w:bCs/>
          <w:color w:val="000000"/>
          <w:sz w:val="22"/>
          <w:szCs w:val="22"/>
          <w:lang w:val="en-US"/>
        </w:rPr>
      </w:pPr>
    </w:p>
    <w:p w14:paraId="4510D0CB" w14:textId="291324CE"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N</w:t>
      </w:r>
      <w:r w:rsidRPr="00C82B70">
        <w:rPr>
          <w:rFonts w:ascii="Calibri" w:eastAsia="Times New Roman" w:hAnsi="Calibri" w:cs="Calibri"/>
          <w:color w:val="000000"/>
          <w:sz w:val="22"/>
          <w:szCs w:val="22"/>
          <w:lang w:val="en-US"/>
        </w:rPr>
        <w:t>eed and indication—Does he know why he takes each drug? Does he still need them? Was long term treatment intended? Is the dose appropriate? Has the diagnosis been refuted? Would non-pharmacological treatments be better?</w:t>
      </w:r>
    </w:p>
    <w:p w14:paraId="42006BD9" w14:textId="77777777" w:rsidR="00DE4272" w:rsidRDefault="00DE4272" w:rsidP="00C82B70">
      <w:pPr>
        <w:rPr>
          <w:rFonts w:ascii="Calibri" w:eastAsia="Times New Roman" w:hAnsi="Calibri" w:cs="Calibri"/>
          <w:b/>
          <w:bCs/>
          <w:color w:val="000000"/>
          <w:sz w:val="22"/>
          <w:szCs w:val="22"/>
          <w:lang w:val="en-US"/>
        </w:rPr>
      </w:pPr>
    </w:p>
    <w:p w14:paraId="3126C94C" w14:textId="3036D119"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O</w:t>
      </w:r>
      <w:r w:rsidRPr="00C82B70">
        <w:rPr>
          <w:rFonts w:ascii="Calibri" w:eastAsia="Times New Roman" w:hAnsi="Calibri" w:cs="Calibri"/>
          <w:color w:val="000000"/>
          <w:sz w:val="22"/>
          <w:szCs w:val="22"/>
          <w:lang w:val="en-US"/>
        </w:rPr>
        <w:t xml:space="preserve">pen questions—Give him the opportunity to express his views by asking questions: “I </w:t>
      </w:r>
      <w:proofErr w:type="spellStart"/>
      <w:r w:rsidRPr="00C82B70">
        <w:rPr>
          <w:rFonts w:ascii="Calibri" w:eastAsia="Times New Roman" w:hAnsi="Calibri" w:cs="Calibri"/>
          <w:color w:val="000000"/>
          <w:sz w:val="22"/>
          <w:szCs w:val="22"/>
          <w:lang w:val="en-US"/>
        </w:rPr>
        <w:t>realise</w:t>
      </w:r>
      <w:proofErr w:type="spellEnd"/>
      <w:r w:rsidRPr="00C82B70">
        <w:rPr>
          <w:rFonts w:ascii="Calibri" w:eastAsia="Times New Roman" w:hAnsi="Calibri" w:cs="Calibri"/>
          <w:color w:val="000000"/>
          <w:sz w:val="22"/>
          <w:szCs w:val="22"/>
          <w:lang w:val="en-US"/>
        </w:rPr>
        <w:t xml:space="preserve"> a lot of people don't take all their tablets. Do you have any problems?” “Can I check that we both agree what you're taking regularly?” or “Do you think your tablets work?” Compare his replies with the number of prescription requests.</w:t>
      </w:r>
    </w:p>
    <w:p w14:paraId="2A78FD39" w14:textId="77777777" w:rsidR="00DE4272" w:rsidRDefault="00DE4272" w:rsidP="00C82B70">
      <w:pPr>
        <w:rPr>
          <w:rFonts w:ascii="Calibri" w:eastAsia="Times New Roman" w:hAnsi="Calibri" w:cs="Calibri"/>
          <w:b/>
          <w:bCs/>
          <w:color w:val="000000"/>
          <w:sz w:val="22"/>
          <w:szCs w:val="22"/>
          <w:lang w:val="en-US"/>
        </w:rPr>
      </w:pPr>
    </w:p>
    <w:p w14:paraId="38054260" w14:textId="25362D6A"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T</w:t>
      </w:r>
      <w:r w:rsidRPr="00C82B70">
        <w:rPr>
          <w:rFonts w:ascii="Calibri" w:eastAsia="Times New Roman" w:hAnsi="Calibri" w:cs="Calibri"/>
          <w:color w:val="000000"/>
          <w:sz w:val="22"/>
          <w:szCs w:val="22"/>
          <w:lang w:val="en-US"/>
        </w:rPr>
        <w:t>ests and monitoring—Assess disease control. Are any of his conditions undertreated? Get advice on appropriate monitoring from prescribing guidelines such as the British National Formulary or the US Physicians' Desk Reference and other primary care documents.</w:t>
      </w:r>
    </w:p>
    <w:p w14:paraId="097ED3F6" w14:textId="77777777" w:rsidR="00DE4272" w:rsidRDefault="00DE4272" w:rsidP="00C82B70">
      <w:pPr>
        <w:rPr>
          <w:rFonts w:ascii="Calibri" w:eastAsia="Times New Roman" w:hAnsi="Calibri" w:cs="Calibri"/>
          <w:b/>
          <w:bCs/>
          <w:color w:val="000000"/>
          <w:sz w:val="22"/>
          <w:szCs w:val="22"/>
          <w:lang w:val="en-US"/>
        </w:rPr>
      </w:pPr>
    </w:p>
    <w:p w14:paraId="3CD02794" w14:textId="7E9732A5"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E</w:t>
      </w:r>
      <w:r w:rsidRPr="00C82B70">
        <w:rPr>
          <w:rFonts w:ascii="Calibri" w:eastAsia="Times New Roman" w:hAnsi="Calibri" w:cs="Calibri"/>
          <w:color w:val="000000"/>
          <w:sz w:val="22"/>
          <w:szCs w:val="22"/>
          <w:lang w:val="en-US"/>
        </w:rPr>
        <w:t xml:space="preserve">vidence and guidelines—Has the evidence base changed since his prescription was initiated? Do the prescribing guidelines indicate that any of his drugs are now less suitable for prescribing? Is the dose appropriate? (For example, dose </w:t>
      </w:r>
      <w:proofErr w:type="spellStart"/>
      <w:r w:rsidRPr="00C82B70">
        <w:rPr>
          <w:rFonts w:ascii="Calibri" w:eastAsia="Times New Roman" w:hAnsi="Calibri" w:cs="Calibri"/>
          <w:color w:val="000000"/>
          <w:sz w:val="22"/>
          <w:szCs w:val="22"/>
          <w:lang w:val="en-US"/>
        </w:rPr>
        <w:t>optimisation</w:t>
      </w:r>
      <w:proofErr w:type="spellEnd"/>
      <w:r w:rsidRPr="00C82B70">
        <w:rPr>
          <w:rFonts w:ascii="Calibri" w:eastAsia="Times New Roman" w:hAnsi="Calibri" w:cs="Calibri"/>
          <w:color w:val="000000"/>
          <w:sz w:val="22"/>
          <w:szCs w:val="22"/>
          <w:lang w:val="en-US"/>
        </w:rPr>
        <w:t xml:space="preserve"> of angiotensin converting enzyme inhibitors in cardiac failure.) Are other investigations now advised, such as </w:t>
      </w:r>
      <w:proofErr w:type="spellStart"/>
      <w:r w:rsidRPr="00C82B70">
        <w:rPr>
          <w:rFonts w:ascii="Calibri" w:eastAsia="Times New Roman" w:hAnsi="Calibri" w:cs="Calibri"/>
          <w:color w:val="000000"/>
          <w:sz w:val="22"/>
          <w:szCs w:val="22"/>
          <w:lang w:val="en-US"/>
        </w:rPr>
        <w:t>echocardiograpy</w:t>
      </w:r>
      <w:proofErr w:type="spellEnd"/>
      <w:r w:rsidRPr="00C82B70">
        <w:rPr>
          <w:rFonts w:ascii="Calibri" w:eastAsia="Times New Roman" w:hAnsi="Calibri" w:cs="Calibri"/>
          <w:color w:val="000000"/>
          <w:sz w:val="22"/>
          <w:szCs w:val="22"/>
          <w:lang w:val="en-US"/>
        </w:rPr>
        <w:t xml:space="preserve"> or testing for Helicobacter pylori?</w:t>
      </w:r>
    </w:p>
    <w:p w14:paraId="5E198669" w14:textId="77777777" w:rsidR="00DE4272" w:rsidRDefault="00DE4272" w:rsidP="00C82B70">
      <w:pPr>
        <w:rPr>
          <w:rFonts w:ascii="Calibri" w:eastAsia="Times New Roman" w:hAnsi="Calibri" w:cs="Calibri"/>
          <w:b/>
          <w:bCs/>
          <w:color w:val="000000"/>
          <w:sz w:val="22"/>
          <w:szCs w:val="22"/>
          <w:lang w:val="en-US"/>
        </w:rPr>
      </w:pPr>
    </w:p>
    <w:p w14:paraId="188B3647" w14:textId="61964D1F"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A</w:t>
      </w:r>
      <w:r w:rsidRPr="00C82B70">
        <w:rPr>
          <w:rFonts w:ascii="Calibri" w:eastAsia="Times New Roman" w:hAnsi="Calibri" w:cs="Calibri"/>
          <w:color w:val="000000"/>
          <w:sz w:val="22"/>
          <w:szCs w:val="22"/>
          <w:lang w:val="en-US"/>
        </w:rPr>
        <w:t>dverse events—Does he have any side effects? Is he taking complementary medicines or over the counter preparations? Check for interactions, duplications, or contraindications. Remember the “prescribing cascade” (misinterpreting an adverse reaction as a new medical condition).</w:t>
      </w:r>
    </w:p>
    <w:p w14:paraId="696E0C67" w14:textId="77777777" w:rsidR="00DE4272" w:rsidRDefault="00DE4272" w:rsidP="00C82B70">
      <w:pPr>
        <w:rPr>
          <w:rFonts w:ascii="Calibri" w:eastAsia="Times New Roman" w:hAnsi="Calibri" w:cs="Calibri"/>
          <w:b/>
          <w:bCs/>
          <w:color w:val="000000"/>
          <w:sz w:val="22"/>
          <w:szCs w:val="22"/>
          <w:lang w:val="en-US"/>
        </w:rPr>
      </w:pPr>
    </w:p>
    <w:p w14:paraId="2FAE0FA5" w14:textId="1446566B"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b/>
          <w:bCs/>
          <w:color w:val="000000"/>
          <w:sz w:val="22"/>
          <w:szCs w:val="22"/>
          <w:lang w:val="en-US"/>
        </w:rPr>
        <w:t>R</w:t>
      </w:r>
      <w:r w:rsidRPr="00C82B70">
        <w:rPr>
          <w:rFonts w:ascii="Calibri" w:eastAsia="Times New Roman" w:hAnsi="Calibri" w:cs="Calibri"/>
          <w:color w:val="000000"/>
          <w:sz w:val="22"/>
          <w:szCs w:val="22"/>
          <w:lang w:val="en-US"/>
        </w:rPr>
        <w:t xml:space="preserve">isk reduction or prevention—If time allows, update opportunistic screening. What are his risks, such as of falls? Are the drugs </w:t>
      </w:r>
      <w:proofErr w:type="spellStart"/>
      <w:r w:rsidRPr="00C82B70">
        <w:rPr>
          <w:rFonts w:ascii="Calibri" w:eastAsia="Times New Roman" w:hAnsi="Calibri" w:cs="Calibri"/>
          <w:color w:val="000000"/>
          <w:sz w:val="22"/>
          <w:szCs w:val="22"/>
          <w:lang w:val="en-US"/>
        </w:rPr>
        <w:t>optimised</w:t>
      </w:r>
      <w:proofErr w:type="spellEnd"/>
      <w:r w:rsidRPr="00C82B70">
        <w:rPr>
          <w:rFonts w:ascii="Calibri" w:eastAsia="Times New Roman" w:hAnsi="Calibri" w:cs="Calibri"/>
          <w:color w:val="000000"/>
          <w:sz w:val="22"/>
          <w:szCs w:val="22"/>
          <w:lang w:val="en-US"/>
        </w:rPr>
        <w:t xml:space="preserve"> to reduce these risks?</w:t>
      </w:r>
    </w:p>
    <w:p w14:paraId="7FE24048" w14:textId="77777777" w:rsidR="00DE4272" w:rsidRDefault="00DE4272" w:rsidP="00C82B70">
      <w:pPr>
        <w:rPr>
          <w:rFonts w:ascii="Calibri" w:eastAsia="Times New Roman" w:hAnsi="Calibri" w:cs="Calibri"/>
          <w:b/>
          <w:bCs/>
          <w:color w:val="000000"/>
          <w:sz w:val="22"/>
          <w:szCs w:val="22"/>
          <w:lang w:val="en-US"/>
        </w:rPr>
      </w:pPr>
    </w:p>
    <w:p w14:paraId="24B28168" w14:textId="6F1B2834" w:rsidR="00DE4272" w:rsidRDefault="00C82B70" w:rsidP="00C82B70">
      <w:pPr>
        <w:rPr>
          <w:rFonts w:ascii="Calibri" w:eastAsia="Times New Roman" w:hAnsi="Calibri" w:cs="Calibri"/>
          <w:color w:val="000000"/>
          <w:sz w:val="22"/>
          <w:szCs w:val="22"/>
          <w:lang w:val="en-US"/>
        </w:rPr>
      </w:pPr>
      <w:r w:rsidRPr="00C82B70">
        <w:rPr>
          <w:rFonts w:ascii="Calibri" w:eastAsia="Times New Roman" w:hAnsi="Calibri" w:cs="Calibri"/>
          <w:b/>
          <w:bCs/>
          <w:color w:val="000000"/>
          <w:sz w:val="22"/>
          <w:szCs w:val="22"/>
          <w:lang w:val="en-US"/>
        </w:rPr>
        <w:t>Si</w:t>
      </w:r>
      <w:r w:rsidRPr="00C82B70">
        <w:rPr>
          <w:rFonts w:ascii="Calibri" w:eastAsia="Times New Roman" w:hAnsi="Calibri" w:cs="Calibri"/>
          <w:color w:val="000000"/>
          <w:sz w:val="22"/>
          <w:szCs w:val="22"/>
          <w:lang w:val="en-US"/>
        </w:rPr>
        <w:t xml:space="preserve">mplification and switches—Can treatment be simplified? Does he know which treatments are important? It may be better to replace low doses of several agents by one full dose. Explain any </w:t>
      </w:r>
    </w:p>
    <w:p w14:paraId="439AFC37" w14:textId="3DDEBAD6"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switches that increase the cost effectiveness of treatment.</w:t>
      </w:r>
    </w:p>
    <w:p w14:paraId="731CE8BF" w14:textId="77777777" w:rsidR="00C82B70" w:rsidRDefault="00C82B70" w:rsidP="00C82B70">
      <w:pPr>
        <w:rPr>
          <w:rFonts w:ascii="Calibri" w:eastAsia="Times New Roman" w:hAnsi="Calibri" w:cs="Calibri"/>
          <w:color w:val="000000"/>
          <w:sz w:val="22"/>
          <w:szCs w:val="22"/>
        </w:rPr>
      </w:pPr>
    </w:p>
    <w:p w14:paraId="4F19677C" w14:textId="1CA3EE7E" w:rsidR="00C82B70" w:rsidRDefault="00C82B70" w:rsidP="00C82B70">
      <w:pPr>
        <w:rPr>
          <w:rFonts w:ascii="Calibri" w:eastAsia="Times New Roman" w:hAnsi="Calibri" w:cs="Calibri"/>
          <w:color w:val="000000"/>
          <w:sz w:val="22"/>
          <w:szCs w:val="22"/>
        </w:rPr>
      </w:pPr>
    </w:p>
    <w:p w14:paraId="58012792" w14:textId="44B93124"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21: Scottish Polypharmacy Guidance</w:t>
      </w:r>
    </w:p>
    <w:p w14:paraId="59211E9D" w14:textId="77777777" w:rsidR="00DE4272" w:rsidRDefault="00DE4272" w:rsidP="00C82B70">
      <w:pPr>
        <w:rPr>
          <w:rFonts w:ascii="Calibri" w:eastAsia="Times New Roman" w:hAnsi="Calibri" w:cs="Calibri"/>
          <w:color w:val="000000"/>
          <w:sz w:val="22"/>
          <w:szCs w:val="22"/>
        </w:rPr>
      </w:pPr>
    </w:p>
    <w:p w14:paraId="38B22C5F" w14:textId="1ACC6243" w:rsidR="00DE4272" w:rsidRDefault="00DE4272" w:rsidP="00C82B70">
      <w:pPr>
        <w:rPr>
          <w:rFonts w:ascii="Calibri" w:eastAsia="Times New Roman" w:hAnsi="Calibri" w:cs="Calibri"/>
          <w:color w:val="000000"/>
          <w:sz w:val="22"/>
          <w:szCs w:val="22"/>
          <w:u w:val="single"/>
        </w:rPr>
      </w:pPr>
      <w:r>
        <w:rPr>
          <w:rFonts w:ascii="Calibri" w:eastAsia="Times New Roman" w:hAnsi="Calibri" w:cs="Calibri"/>
          <w:color w:val="000000"/>
          <w:sz w:val="22"/>
          <w:szCs w:val="22"/>
          <w:u w:val="single"/>
        </w:rPr>
        <w:t xml:space="preserve">Links to more information </w:t>
      </w:r>
    </w:p>
    <w:p w14:paraId="2DE26B86" w14:textId="77777777" w:rsidR="00DE4272" w:rsidRPr="00DE4272" w:rsidRDefault="00DE4272" w:rsidP="00C82B70">
      <w:pPr>
        <w:rPr>
          <w:rFonts w:ascii="Calibri" w:eastAsia="Times New Roman" w:hAnsi="Calibri" w:cs="Calibri"/>
          <w:color w:val="000000"/>
          <w:sz w:val="22"/>
          <w:szCs w:val="22"/>
          <w:u w:val="single"/>
        </w:rPr>
      </w:pPr>
    </w:p>
    <w:p w14:paraId="6ACE983F" w14:textId="6F9816DE"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Scottish Polypharmacy 7 steps is very much about person centred care and need for shared decision making. For more information visit </w:t>
      </w:r>
      <w:hyperlink r:id="rId19" w:history="1">
        <w:r w:rsidRPr="00C82B70">
          <w:rPr>
            <w:rStyle w:val="Hyperlink"/>
            <w:rFonts w:ascii="Calibri" w:eastAsia="Times New Roman" w:hAnsi="Calibri" w:cs="Calibri"/>
            <w:sz w:val="22"/>
            <w:szCs w:val="22"/>
          </w:rPr>
          <w:t>https://www.therapeutics.scot.nhs.uk/wp-content/uploads/2018/04/Polypharmacy-Guidance-2018.pdf</w:t>
        </w:r>
      </w:hyperlink>
      <w:r w:rsidRPr="00C82B70">
        <w:rPr>
          <w:rFonts w:ascii="Calibri" w:eastAsia="Times New Roman" w:hAnsi="Calibri" w:cs="Calibri"/>
          <w:color w:val="000000"/>
          <w:sz w:val="22"/>
          <w:szCs w:val="22"/>
        </w:rPr>
        <w:t>. It is also available as an app</w:t>
      </w:r>
    </w:p>
    <w:p w14:paraId="304FB414" w14:textId="77777777" w:rsidR="00DE4272" w:rsidRDefault="00DE4272" w:rsidP="00C82B70">
      <w:pPr>
        <w:rPr>
          <w:rFonts w:ascii="Calibri" w:eastAsia="Times New Roman" w:hAnsi="Calibri" w:cs="Calibri"/>
          <w:color w:val="000000"/>
          <w:sz w:val="22"/>
          <w:szCs w:val="22"/>
        </w:rPr>
      </w:pPr>
    </w:p>
    <w:p w14:paraId="12B38E6B" w14:textId="1A608362" w:rsidR="00C82B70" w:rsidRPr="00C82B70" w:rsidRDefault="00DE4272" w:rsidP="00C82B70">
      <w:pPr>
        <w:rPr>
          <w:rFonts w:ascii="Calibri" w:eastAsia="Times New Roman" w:hAnsi="Calibri" w:cs="Calibri"/>
          <w:color w:val="000000"/>
          <w:sz w:val="22"/>
          <w:szCs w:val="22"/>
        </w:rPr>
      </w:pPr>
      <w:r>
        <w:rPr>
          <w:rFonts w:ascii="Calibri" w:eastAsia="Times New Roman" w:hAnsi="Calibri" w:cs="Calibri"/>
          <w:color w:val="000000"/>
          <w:sz w:val="22"/>
          <w:szCs w:val="22"/>
        </w:rPr>
        <w:t>It is a</w:t>
      </w:r>
      <w:r w:rsidR="00C82B70" w:rsidRPr="00C82B70">
        <w:rPr>
          <w:rFonts w:ascii="Calibri" w:eastAsia="Times New Roman" w:hAnsi="Calibri" w:cs="Calibri"/>
          <w:color w:val="000000"/>
          <w:sz w:val="22"/>
          <w:szCs w:val="22"/>
        </w:rPr>
        <w:t>lso worth consulting “Polypharmacy Guidance NHS Education for Scotland</w:t>
      </w:r>
      <w:r>
        <w:rPr>
          <w:rFonts w:ascii="Calibri" w:eastAsia="Times New Roman" w:hAnsi="Calibri" w:cs="Calibri"/>
          <w:color w:val="000000"/>
          <w:sz w:val="22"/>
          <w:szCs w:val="22"/>
        </w:rPr>
        <w:t>”</w:t>
      </w:r>
      <w:r w:rsidR="00C82B70" w:rsidRPr="00C82B70">
        <w:rPr>
          <w:rFonts w:ascii="Calibri" w:eastAsia="Times New Roman" w:hAnsi="Calibri" w:cs="Calibri"/>
          <w:color w:val="000000"/>
          <w:sz w:val="22"/>
          <w:szCs w:val="22"/>
        </w:rPr>
        <w:t xml:space="preserve"> </w:t>
      </w:r>
    </w:p>
    <w:p w14:paraId="0F9F0F24" w14:textId="77777777" w:rsidR="00C82B70" w:rsidRDefault="00C82B70" w:rsidP="00C82B70">
      <w:pPr>
        <w:rPr>
          <w:rFonts w:ascii="Calibri" w:eastAsia="Times New Roman" w:hAnsi="Calibri" w:cs="Calibri"/>
          <w:color w:val="000000"/>
          <w:sz w:val="22"/>
          <w:szCs w:val="22"/>
        </w:rPr>
      </w:pPr>
    </w:p>
    <w:p w14:paraId="2DBEB03D" w14:textId="77777777" w:rsidR="00DE4272" w:rsidRDefault="00DE4272">
      <w:pPr>
        <w:rPr>
          <w:rFonts w:ascii="Calibri" w:eastAsia="Times New Roman" w:hAnsi="Calibri" w:cs="Calibri"/>
          <w:b/>
          <w:bCs/>
          <w:color w:val="000000"/>
        </w:rPr>
      </w:pPr>
      <w:r>
        <w:rPr>
          <w:rFonts w:ascii="Calibri" w:eastAsia="Times New Roman" w:hAnsi="Calibri" w:cs="Calibri"/>
          <w:b/>
          <w:bCs/>
          <w:color w:val="000000"/>
        </w:rPr>
        <w:br w:type="page"/>
      </w:r>
    </w:p>
    <w:p w14:paraId="42901469" w14:textId="25C911DA"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22: Untitled</w:t>
      </w:r>
    </w:p>
    <w:p w14:paraId="40C308A7" w14:textId="152FB57A" w:rsidR="00C82B70" w:rsidRDefault="00C82B70" w:rsidP="00C82B70">
      <w:pPr>
        <w:rPr>
          <w:rFonts w:ascii="Calibri" w:eastAsia="Times New Roman" w:hAnsi="Calibri" w:cs="Calibri"/>
          <w:color w:val="000000"/>
          <w:sz w:val="22"/>
          <w:szCs w:val="22"/>
        </w:rPr>
      </w:pPr>
    </w:p>
    <w:p w14:paraId="5BA69637" w14:textId="328179E3" w:rsidR="00DE4272" w:rsidRPr="00DE4272" w:rsidRDefault="00C82B70" w:rsidP="00C82B70">
      <w:pPr>
        <w:rPr>
          <w:rFonts w:ascii="Calibri" w:eastAsia="Times New Roman" w:hAnsi="Calibri" w:cs="Calibri"/>
          <w:color w:val="000000"/>
          <w:sz w:val="22"/>
          <w:szCs w:val="22"/>
          <w:u w:val="single"/>
        </w:rPr>
      </w:pPr>
      <w:r w:rsidRPr="00DE4272">
        <w:rPr>
          <w:rFonts w:ascii="Calibri" w:eastAsia="Times New Roman" w:hAnsi="Calibri" w:cs="Calibri"/>
          <w:color w:val="000000"/>
          <w:sz w:val="22"/>
          <w:szCs w:val="22"/>
          <w:u w:val="single"/>
        </w:rPr>
        <w:t>Reference</w:t>
      </w:r>
      <w:r w:rsidR="00DE4272" w:rsidRPr="00DE4272">
        <w:rPr>
          <w:rFonts w:ascii="Calibri" w:eastAsia="Times New Roman" w:hAnsi="Calibri" w:cs="Calibri"/>
          <w:color w:val="000000"/>
          <w:sz w:val="22"/>
          <w:szCs w:val="22"/>
          <w:u w:val="single"/>
        </w:rPr>
        <w:t>s</w:t>
      </w:r>
    </w:p>
    <w:p w14:paraId="75386732" w14:textId="77777777" w:rsidR="00DE4272" w:rsidRDefault="00DE4272" w:rsidP="00C82B70">
      <w:pPr>
        <w:rPr>
          <w:rFonts w:ascii="Calibri" w:eastAsia="Times New Roman" w:hAnsi="Calibri" w:cs="Calibri"/>
          <w:color w:val="000000"/>
          <w:sz w:val="22"/>
          <w:szCs w:val="22"/>
        </w:rPr>
      </w:pPr>
    </w:p>
    <w:p w14:paraId="4E7F6734" w14:textId="039D0A0B" w:rsid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rPr>
        <w:t xml:space="preserve">To gain full access visit: </w:t>
      </w:r>
      <w:hyperlink r:id="rId20" w:history="1">
        <w:r w:rsidRPr="00C82B70">
          <w:rPr>
            <w:rStyle w:val="Hyperlink"/>
            <w:rFonts w:ascii="Calibri" w:eastAsia="Times New Roman" w:hAnsi="Calibri" w:cs="Calibri"/>
            <w:sz w:val="22"/>
            <w:szCs w:val="22"/>
          </w:rPr>
          <w:t>https://www.therapeutics.scot.nhs.uk/wp-content/uploads/2018/04/Polypharmacy-Guidance-2018.pdf</w:t>
        </w:r>
      </w:hyperlink>
      <w:r w:rsidRPr="00C82B70">
        <w:rPr>
          <w:rFonts w:ascii="Calibri" w:eastAsia="Times New Roman" w:hAnsi="Calibri" w:cs="Calibri"/>
          <w:color w:val="000000"/>
          <w:sz w:val="22"/>
          <w:szCs w:val="22"/>
        </w:rPr>
        <w:t xml:space="preserve"> and consult the table in detail</w:t>
      </w:r>
    </w:p>
    <w:p w14:paraId="3A96E764" w14:textId="77777777" w:rsidR="00DE4272" w:rsidRPr="00C82B70" w:rsidRDefault="00DE4272" w:rsidP="00C82B70">
      <w:pPr>
        <w:rPr>
          <w:rFonts w:ascii="Calibri" w:hAnsi="Calibri" w:cs="Calibri"/>
          <w:color w:val="000000"/>
          <w:sz w:val="22"/>
          <w:szCs w:val="22"/>
        </w:rPr>
      </w:pPr>
      <w:bookmarkStart w:id="0" w:name="_GoBack"/>
      <w:bookmarkEnd w:id="0"/>
    </w:p>
    <w:p w14:paraId="6251D5BF" w14:textId="19D12C59" w:rsidR="00C82B70" w:rsidRDefault="00C82B70" w:rsidP="00C82B70">
      <w:pPr>
        <w:rPr>
          <w:rFonts w:ascii="Calibri" w:eastAsia="Times New Roman" w:hAnsi="Calibri" w:cs="Calibri"/>
          <w:color w:val="000000"/>
          <w:sz w:val="22"/>
          <w:szCs w:val="22"/>
        </w:rPr>
      </w:pPr>
    </w:p>
    <w:p w14:paraId="089F1625" w14:textId="48D55234" w:rsidR="00C82B70" w:rsidRPr="004A02D5" w:rsidRDefault="00C82B70" w:rsidP="00C82B70">
      <w:pPr>
        <w:rPr>
          <w:rFonts w:ascii="Calibri" w:eastAsia="Times New Roman" w:hAnsi="Calibri" w:cs="Calibri"/>
          <w:b/>
          <w:bCs/>
          <w:color w:val="000000"/>
        </w:rPr>
      </w:pPr>
      <w:r w:rsidRPr="004A02D5">
        <w:rPr>
          <w:rFonts w:ascii="Calibri" w:eastAsia="Times New Roman" w:hAnsi="Calibri" w:cs="Calibri"/>
          <w:b/>
          <w:bCs/>
          <w:color w:val="000000"/>
        </w:rPr>
        <w:t>Slide 23: Barriers to stopping medicines</w:t>
      </w:r>
    </w:p>
    <w:p w14:paraId="7F9DAF09" w14:textId="77777777" w:rsidR="00DE4272" w:rsidRDefault="00DE4272" w:rsidP="00C82B70">
      <w:pPr>
        <w:rPr>
          <w:rFonts w:ascii="Calibri" w:eastAsia="Times New Roman" w:hAnsi="Calibri" w:cs="Calibri"/>
          <w:color w:val="000000"/>
          <w:sz w:val="22"/>
          <w:szCs w:val="22"/>
          <w:lang w:val="en-US"/>
        </w:rPr>
      </w:pPr>
    </w:p>
    <w:p w14:paraId="578077D9" w14:textId="37C74B1E" w:rsidR="00C82B70" w:rsidRPr="00C82B70" w:rsidRDefault="00C82B70" w:rsidP="00C82B70">
      <w:pPr>
        <w:rPr>
          <w:rFonts w:ascii="Calibri" w:eastAsia="Times New Roman" w:hAnsi="Calibri" w:cs="Calibri"/>
          <w:color w:val="000000"/>
          <w:sz w:val="22"/>
          <w:szCs w:val="22"/>
        </w:rPr>
      </w:pPr>
      <w:r w:rsidRPr="00C82B70">
        <w:rPr>
          <w:rFonts w:ascii="Calibri" w:eastAsia="Times New Roman" w:hAnsi="Calibri" w:cs="Calibri"/>
          <w:color w:val="000000"/>
          <w:sz w:val="22"/>
          <w:szCs w:val="22"/>
          <w:lang w:val="en-US"/>
        </w:rPr>
        <w:t>Suggest</w:t>
      </w:r>
      <w:r w:rsidR="00DE4272">
        <w:rPr>
          <w:rFonts w:ascii="Calibri" w:eastAsia="Times New Roman" w:hAnsi="Calibri" w:cs="Calibri"/>
          <w:color w:val="000000"/>
          <w:sz w:val="22"/>
          <w:szCs w:val="22"/>
          <w:lang w:val="en-US"/>
        </w:rPr>
        <w:t>/</w:t>
      </w:r>
      <w:r w:rsidRPr="00C82B70">
        <w:rPr>
          <w:rFonts w:ascii="Calibri" w:eastAsia="Times New Roman" w:hAnsi="Calibri" w:cs="Calibri"/>
          <w:color w:val="000000"/>
          <w:sz w:val="22"/>
          <w:szCs w:val="22"/>
          <w:lang w:val="en-US"/>
        </w:rPr>
        <w:t xml:space="preserve">invite comments from attendees </w:t>
      </w:r>
      <w:r w:rsidR="00DE4272">
        <w:rPr>
          <w:rFonts w:ascii="Calibri" w:eastAsia="Times New Roman" w:hAnsi="Calibri" w:cs="Calibri"/>
          <w:color w:val="000000"/>
          <w:sz w:val="22"/>
          <w:szCs w:val="22"/>
          <w:lang w:val="en-US"/>
        </w:rPr>
        <w:t>and then share the answers collated / you found most interesting from the ALS. Key themes that come up repeatedly include but are not limited to;</w:t>
      </w:r>
      <w:r w:rsidRPr="00C82B70">
        <w:rPr>
          <w:rFonts w:ascii="Calibri" w:eastAsia="Times New Roman" w:hAnsi="Calibri" w:cs="Calibri"/>
          <w:color w:val="000000"/>
          <w:sz w:val="22"/>
          <w:szCs w:val="22"/>
          <w:lang w:val="en-US"/>
        </w:rPr>
        <w:t xml:space="preserve">  </w:t>
      </w:r>
    </w:p>
    <w:p w14:paraId="7682AD99" w14:textId="77777777" w:rsidR="00C82B70" w:rsidRPr="00DE4272" w:rsidRDefault="00C82B70"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lang w:val="en-US"/>
        </w:rPr>
        <w:t xml:space="preserve">Confidence to stop </w:t>
      </w:r>
    </w:p>
    <w:p w14:paraId="0E4ACAC2" w14:textId="77777777" w:rsidR="00C82B70" w:rsidRPr="00DE4272" w:rsidRDefault="00C82B70"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lang w:val="en-US"/>
        </w:rPr>
        <w:t xml:space="preserve">Time pressures </w:t>
      </w:r>
    </w:p>
    <w:p w14:paraId="665137D6" w14:textId="77777777" w:rsidR="00C82B70" w:rsidRPr="00DE4272" w:rsidRDefault="00C82B70"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lang w:val="en-US"/>
        </w:rPr>
        <w:t xml:space="preserve">Resources </w:t>
      </w:r>
    </w:p>
    <w:p w14:paraId="54D7F1E5" w14:textId="77777777" w:rsidR="00C82B70" w:rsidRPr="00DE4272" w:rsidRDefault="00C82B70"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lang w:val="en-US"/>
        </w:rPr>
        <w:t>Patient expectations</w:t>
      </w:r>
    </w:p>
    <w:p w14:paraId="7B67C045" w14:textId="77777777" w:rsidR="00C82B70" w:rsidRPr="00DE4272" w:rsidRDefault="00C82B70" w:rsidP="00DE4272">
      <w:pPr>
        <w:pStyle w:val="ListParagraph"/>
        <w:numPr>
          <w:ilvl w:val="0"/>
          <w:numId w:val="5"/>
        </w:numPr>
        <w:rPr>
          <w:rFonts w:ascii="Calibri" w:eastAsia="Times New Roman" w:hAnsi="Calibri" w:cs="Calibri"/>
          <w:color w:val="000000"/>
          <w:sz w:val="22"/>
          <w:szCs w:val="22"/>
        </w:rPr>
      </w:pPr>
      <w:r w:rsidRPr="00DE4272">
        <w:rPr>
          <w:rFonts w:ascii="Calibri" w:eastAsia="Times New Roman" w:hAnsi="Calibri" w:cs="Calibri"/>
          <w:color w:val="000000"/>
          <w:sz w:val="22"/>
          <w:szCs w:val="22"/>
          <w:lang w:val="en-US"/>
        </w:rPr>
        <w:t xml:space="preserve">Different healthcare professionals to stop medicines have different priorities re stopping medicines </w:t>
      </w:r>
    </w:p>
    <w:p w14:paraId="3ABF5F5F" w14:textId="77777777" w:rsidR="00C82B70" w:rsidRPr="00C82B70" w:rsidRDefault="00C82B70" w:rsidP="00C82B70">
      <w:pPr>
        <w:rPr>
          <w:rFonts w:ascii="Calibri" w:eastAsia="Times New Roman" w:hAnsi="Calibri" w:cs="Calibri"/>
          <w:color w:val="000000"/>
          <w:sz w:val="22"/>
          <w:szCs w:val="22"/>
        </w:rPr>
      </w:pPr>
    </w:p>
    <w:p w14:paraId="2BEC2D3C" w14:textId="77777777" w:rsidR="00C82B70" w:rsidRDefault="00C82B70" w:rsidP="00C82B70">
      <w:pPr>
        <w:rPr>
          <w:rFonts w:ascii="Calibri" w:eastAsia="Times New Roman" w:hAnsi="Calibri" w:cs="Calibri"/>
          <w:color w:val="000000"/>
          <w:sz w:val="36"/>
          <w:szCs w:val="36"/>
        </w:rPr>
      </w:pPr>
    </w:p>
    <w:sectPr w:rsidR="00C82B70" w:rsidSect="00087D8C">
      <w:headerReference w:type="default" r:id="rId21"/>
      <w:pgSz w:w="11900" w:h="16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35F8" w14:textId="77777777" w:rsidR="00FE490A" w:rsidRDefault="00FE490A" w:rsidP="00087D8C">
      <w:r>
        <w:separator/>
      </w:r>
    </w:p>
  </w:endnote>
  <w:endnote w:type="continuationSeparator" w:id="0">
    <w:p w14:paraId="3D5EEDB8" w14:textId="77777777" w:rsidR="00FE490A" w:rsidRDefault="00FE490A" w:rsidP="0008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87D5" w14:textId="77777777" w:rsidR="00FE490A" w:rsidRDefault="00FE490A" w:rsidP="00087D8C">
      <w:r>
        <w:separator/>
      </w:r>
    </w:p>
  </w:footnote>
  <w:footnote w:type="continuationSeparator" w:id="0">
    <w:p w14:paraId="45A0BEB8" w14:textId="77777777" w:rsidR="00FE490A" w:rsidRDefault="00FE490A" w:rsidP="0008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5BA7" w14:textId="432E3F53" w:rsidR="00087D8C" w:rsidRDefault="00C82B70" w:rsidP="00087D8C">
    <w:pPr>
      <w:pStyle w:val="Header"/>
      <w:ind w:firstLine="720"/>
    </w:pPr>
    <w:r>
      <w:rPr>
        <w:noProof/>
      </w:rPr>
      <w:drawing>
        <wp:anchor distT="0" distB="0" distL="114300" distR="114300" simplePos="0" relativeHeight="251660288" behindDoc="0" locked="0" layoutInCell="1" allowOverlap="1" wp14:anchorId="54687FBD" wp14:editId="5FD739FF">
          <wp:simplePos x="0" y="0"/>
          <wp:positionH relativeFrom="margin">
            <wp:posOffset>-655320</wp:posOffset>
          </wp:positionH>
          <wp:positionV relativeFrom="topMargin">
            <wp:posOffset>78740</wp:posOffset>
          </wp:positionV>
          <wp:extent cx="1722120" cy="1145540"/>
          <wp:effectExtent l="0" t="0" r="0" b="0"/>
          <wp:wrapSquare wrapText="bothSides"/>
          <wp:docPr id="45" name="Picture 45" descr="C:\Users\Ruth.George\AppData\Local\Microsoft\Windows\INetCache\Content.MSO\3F5E9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George\AppData\Local\Microsoft\Windows\INetCache\Content.MSO\3F5E96C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6BAFA72" wp14:editId="3B1531C7">
          <wp:simplePos x="0" y="0"/>
          <wp:positionH relativeFrom="margin">
            <wp:posOffset>2040255</wp:posOffset>
          </wp:positionH>
          <wp:positionV relativeFrom="topMargin">
            <wp:posOffset>74295</wp:posOffset>
          </wp:positionV>
          <wp:extent cx="1480185" cy="1184910"/>
          <wp:effectExtent l="0" t="0" r="571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89438EF" wp14:editId="60402F03">
          <wp:simplePos x="0" y="0"/>
          <wp:positionH relativeFrom="margin">
            <wp:posOffset>4159885</wp:posOffset>
          </wp:positionH>
          <wp:positionV relativeFrom="margin">
            <wp:posOffset>-1051560</wp:posOffset>
          </wp:positionV>
          <wp:extent cx="2314575" cy="964565"/>
          <wp:effectExtent l="0" t="0" r="9525" b="698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4575" cy="964565"/>
                  </a:xfrm>
                  <a:prstGeom prst="rect">
                    <a:avLst/>
                  </a:prstGeom>
                  <a:noFill/>
                  <a:ln>
                    <a:noFill/>
                  </a:ln>
                </pic:spPr>
              </pic:pic>
            </a:graphicData>
          </a:graphic>
        </wp:anchor>
      </w:drawing>
    </w:r>
    <w:r w:rsidR="00632F4B">
      <w:ptab w:relativeTo="margin" w:alignment="left" w:leader="none"/>
    </w:r>
    <w:r w:rsidR="00087D8C">
      <w:tab/>
    </w:r>
  </w:p>
  <w:p w14:paraId="55FE9B20" w14:textId="46A0DBF8" w:rsidR="00C82B70" w:rsidRDefault="00C82B70" w:rsidP="00087D8C">
    <w:pPr>
      <w:pStyle w:val="Header"/>
      <w:ind w:firstLine="720"/>
    </w:pPr>
  </w:p>
  <w:p w14:paraId="2423A4B1" w14:textId="0671EDDA" w:rsidR="00C82B70" w:rsidRDefault="00C82B70" w:rsidP="00087D8C">
    <w:pPr>
      <w:pStyle w:val="Header"/>
      <w:ind w:firstLine="720"/>
    </w:pPr>
  </w:p>
  <w:p w14:paraId="5BBE659D" w14:textId="4FC0DAA6" w:rsidR="00C82B70" w:rsidRDefault="00C82B70" w:rsidP="00087D8C">
    <w:pPr>
      <w:pStyle w:val="Header"/>
      <w:ind w:firstLine="720"/>
    </w:pPr>
  </w:p>
  <w:p w14:paraId="3490EE3E" w14:textId="77777777" w:rsidR="00C82B70" w:rsidRDefault="00C82B70" w:rsidP="00087D8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E95"/>
    <w:multiLevelType w:val="hybridMultilevel"/>
    <w:tmpl w:val="67409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2FA7"/>
    <w:multiLevelType w:val="hybridMultilevel"/>
    <w:tmpl w:val="A0DA764C"/>
    <w:lvl w:ilvl="0" w:tplc="D74C1AE0">
      <w:start w:val="1"/>
      <w:numFmt w:val="bullet"/>
      <w:lvlText w:val="•"/>
      <w:lvlJc w:val="left"/>
      <w:pPr>
        <w:tabs>
          <w:tab w:val="num" w:pos="720"/>
        </w:tabs>
        <w:ind w:left="720" w:hanging="360"/>
      </w:pPr>
      <w:rPr>
        <w:rFonts w:ascii="Arial" w:hAnsi="Arial" w:hint="default"/>
      </w:rPr>
    </w:lvl>
    <w:lvl w:ilvl="1" w:tplc="4D923254" w:tentative="1">
      <w:start w:val="1"/>
      <w:numFmt w:val="bullet"/>
      <w:lvlText w:val="•"/>
      <w:lvlJc w:val="left"/>
      <w:pPr>
        <w:tabs>
          <w:tab w:val="num" w:pos="1440"/>
        </w:tabs>
        <w:ind w:left="1440" w:hanging="360"/>
      </w:pPr>
      <w:rPr>
        <w:rFonts w:ascii="Arial" w:hAnsi="Arial" w:hint="default"/>
      </w:rPr>
    </w:lvl>
    <w:lvl w:ilvl="2" w:tplc="236897F6" w:tentative="1">
      <w:start w:val="1"/>
      <w:numFmt w:val="bullet"/>
      <w:lvlText w:val="•"/>
      <w:lvlJc w:val="left"/>
      <w:pPr>
        <w:tabs>
          <w:tab w:val="num" w:pos="2160"/>
        </w:tabs>
        <w:ind w:left="2160" w:hanging="360"/>
      </w:pPr>
      <w:rPr>
        <w:rFonts w:ascii="Arial" w:hAnsi="Arial" w:hint="default"/>
      </w:rPr>
    </w:lvl>
    <w:lvl w:ilvl="3" w:tplc="28943462" w:tentative="1">
      <w:start w:val="1"/>
      <w:numFmt w:val="bullet"/>
      <w:lvlText w:val="•"/>
      <w:lvlJc w:val="left"/>
      <w:pPr>
        <w:tabs>
          <w:tab w:val="num" w:pos="2880"/>
        </w:tabs>
        <w:ind w:left="2880" w:hanging="360"/>
      </w:pPr>
      <w:rPr>
        <w:rFonts w:ascii="Arial" w:hAnsi="Arial" w:hint="default"/>
      </w:rPr>
    </w:lvl>
    <w:lvl w:ilvl="4" w:tplc="F23C7528" w:tentative="1">
      <w:start w:val="1"/>
      <w:numFmt w:val="bullet"/>
      <w:lvlText w:val="•"/>
      <w:lvlJc w:val="left"/>
      <w:pPr>
        <w:tabs>
          <w:tab w:val="num" w:pos="3600"/>
        </w:tabs>
        <w:ind w:left="3600" w:hanging="360"/>
      </w:pPr>
      <w:rPr>
        <w:rFonts w:ascii="Arial" w:hAnsi="Arial" w:hint="default"/>
      </w:rPr>
    </w:lvl>
    <w:lvl w:ilvl="5" w:tplc="23D034DE" w:tentative="1">
      <w:start w:val="1"/>
      <w:numFmt w:val="bullet"/>
      <w:lvlText w:val="•"/>
      <w:lvlJc w:val="left"/>
      <w:pPr>
        <w:tabs>
          <w:tab w:val="num" w:pos="4320"/>
        </w:tabs>
        <w:ind w:left="4320" w:hanging="360"/>
      </w:pPr>
      <w:rPr>
        <w:rFonts w:ascii="Arial" w:hAnsi="Arial" w:hint="default"/>
      </w:rPr>
    </w:lvl>
    <w:lvl w:ilvl="6" w:tplc="73307644" w:tentative="1">
      <w:start w:val="1"/>
      <w:numFmt w:val="bullet"/>
      <w:lvlText w:val="•"/>
      <w:lvlJc w:val="left"/>
      <w:pPr>
        <w:tabs>
          <w:tab w:val="num" w:pos="5040"/>
        </w:tabs>
        <w:ind w:left="5040" w:hanging="360"/>
      </w:pPr>
      <w:rPr>
        <w:rFonts w:ascii="Arial" w:hAnsi="Arial" w:hint="default"/>
      </w:rPr>
    </w:lvl>
    <w:lvl w:ilvl="7" w:tplc="6EA88D8E" w:tentative="1">
      <w:start w:val="1"/>
      <w:numFmt w:val="bullet"/>
      <w:lvlText w:val="•"/>
      <w:lvlJc w:val="left"/>
      <w:pPr>
        <w:tabs>
          <w:tab w:val="num" w:pos="5760"/>
        </w:tabs>
        <w:ind w:left="5760" w:hanging="360"/>
      </w:pPr>
      <w:rPr>
        <w:rFonts w:ascii="Arial" w:hAnsi="Arial" w:hint="default"/>
      </w:rPr>
    </w:lvl>
    <w:lvl w:ilvl="8" w:tplc="F2449B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6F7980"/>
    <w:multiLevelType w:val="hybridMultilevel"/>
    <w:tmpl w:val="F6DC1A28"/>
    <w:lvl w:ilvl="0" w:tplc="C5A02B56">
      <w:start w:val="1"/>
      <w:numFmt w:val="decimal"/>
      <w:lvlText w:val="%1)"/>
      <w:lvlJc w:val="left"/>
      <w:pPr>
        <w:tabs>
          <w:tab w:val="num" w:pos="720"/>
        </w:tabs>
        <w:ind w:left="720" w:hanging="360"/>
      </w:pPr>
    </w:lvl>
    <w:lvl w:ilvl="1" w:tplc="C7DE32B4" w:tentative="1">
      <w:start w:val="1"/>
      <w:numFmt w:val="decimal"/>
      <w:lvlText w:val="%2)"/>
      <w:lvlJc w:val="left"/>
      <w:pPr>
        <w:tabs>
          <w:tab w:val="num" w:pos="1440"/>
        </w:tabs>
        <w:ind w:left="1440" w:hanging="360"/>
      </w:pPr>
    </w:lvl>
    <w:lvl w:ilvl="2" w:tplc="750CB458" w:tentative="1">
      <w:start w:val="1"/>
      <w:numFmt w:val="decimal"/>
      <w:lvlText w:val="%3)"/>
      <w:lvlJc w:val="left"/>
      <w:pPr>
        <w:tabs>
          <w:tab w:val="num" w:pos="2160"/>
        </w:tabs>
        <w:ind w:left="2160" w:hanging="360"/>
      </w:pPr>
    </w:lvl>
    <w:lvl w:ilvl="3" w:tplc="37982FA8" w:tentative="1">
      <w:start w:val="1"/>
      <w:numFmt w:val="decimal"/>
      <w:lvlText w:val="%4)"/>
      <w:lvlJc w:val="left"/>
      <w:pPr>
        <w:tabs>
          <w:tab w:val="num" w:pos="2880"/>
        </w:tabs>
        <w:ind w:left="2880" w:hanging="360"/>
      </w:pPr>
    </w:lvl>
    <w:lvl w:ilvl="4" w:tplc="BA60AF86" w:tentative="1">
      <w:start w:val="1"/>
      <w:numFmt w:val="decimal"/>
      <w:lvlText w:val="%5)"/>
      <w:lvlJc w:val="left"/>
      <w:pPr>
        <w:tabs>
          <w:tab w:val="num" w:pos="3600"/>
        </w:tabs>
        <w:ind w:left="3600" w:hanging="360"/>
      </w:pPr>
    </w:lvl>
    <w:lvl w:ilvl="5" w:tplc="2F403A00" w:tentative="1">
      <w:start w:val="1"/>
      <w:numFmt w:val="decimal"/>
      <w:lvlText w:val="%6)"/>
      <w:lvlJc w:val="left"/>
      <w:pPr>
        <w:tabs>
          <w:tab w:val="num" w:pos="4320"/>
        </w:tabs>
        <w:ind w:left="4320" w:hanging="360"/>
      </w:pPr>
    </w:lvl>
    <w:lvl w:ilvl="6" w:tplc="7B4465A2" w:tentative="1">
      <w:start w:val="1"/>
      <w:numFmt w:val="decimal"/>
      <w:lvlText w:val="%7)"/>
      <w:lvlJc w:val="left"/>
      <w:pPr>
        <w:tabs>
          <w:tab w:val="num" w:pos="5040"/>
        </w:tabs>
        <w:ind w:left="5040" w:hanging="360"/>
      </w:pPr>
    </w:lvl>
    <w:lvl w:ilvl="7" w:tplc="694E6628" w:tentative="1">
      <w:start w:val="1"/>
      <w:numFmt w:val="decimal"/>
      <w:lvlText w:val="%8)"/>
      <w:lvlJc w:val="left"/>
      <w:pPr>
        <w:tabs>
          <w:tab w:val="num" w:pos="5760"/>
        </w:tabs>
        <w:ind w:left="5760" w:hanging="360"/>
      </w:pPr>
    </w:lvl>
    <w:lvl w:ilvl="8" w:tplc="640EC7E2" w:tentative="1">
      <w:start w:val="1"/>
      <w:numFmt w:val="decimal"/>
      <w:lvlText w:val="%9)"/>
      <w:lvlJc w:val="left"/>
      <w:pPr>
        <w:tabs>
          <w:tab w:val="num" w:pos="6480"/>
        </w:tabs>
        <w:ind w:left="6480" w:hanging="360"/>
      </w:pPr>
    </w:lvl>
  </w:abstractNum>
  <w:abstractNum w:abstractNumId="3" w15:restartNumberingAfterBreak="0">
    <w:nsid w:val="36564256"/>
    <w:multiLevelType w:val="hybridMultilevel"/>
    <w:tmpl w:val="BB7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07847"/>
    <w:multiLevelType w:val="hybridMultilevel"/>
    <w:tmpl w:val="E730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36"/>
    <w:rsid w:val="0000309C"/>
    <w:rsid w:val="00087D8C"/>
    <w:rsid w:val="001107F6"/>
    <w:rsid w:val="0011151A"/>
    <w:rsid w:val="001441E6"/>
    <w:rsid w:val="0017728C"/>
    <w:rsid w:val="00195766"/>
    <w:rsid w:val="001D6DBA"/>
    <w:rsid w:val="0024371D"/>
    <w:rsid w:val="00257537"/>
    <w:rsid w:val="002D1ED8"/>
    <w:rsid w:val="002F4D9B"/>
    <w:rsid w:val="004A02D5"/>
    <w:rsid w:val="004B622F"/>
    <w:rsid w:val="004D2196"/>
    <w:rsid w:val="004D2877"/>
    <w:rsid w:val="00632F4B"/>
    <w:rsid w:val="00665E22"/>
    <w:rsid w:val="006B0558"/>
    <w:rsid w:val="006E0D3F"/>
    <w:rsid w:val="00703E5E"/>
    <w:rsid w:val="00744E5D"/>
    <w:rsid w:val="007A2BDE"/>
    <w:rsid w:val="00846344"/>
    <w:rsid w:val="00853436"/>
    <w:rsid w:val="008A13E9"/>
    <w:rsid w:val="008F10D8"/>
    <w:rsid w:val="00920B88"/>
    <w:rsid w:val="009644BB"/>
    <w:rsid w:val="009B229F"/>
    <w:rsid w:val="009F76C6"/>
    <w:rsid w:val="00A054EE"/>
    <w:rsid w:val="00AB0158"/>
    <w:rsid w:val="00AD05E1"/>
    <w:rsid w:val="00AD0913"/>
    <w:rsid w:val="00B2712C"/>
    <w:rsid w:val="00B33286"/>
    <w:rsid w:val="00B45D5F"/>
    <w:rsid w:val="00BC1F2A"/>
    <w:rsid w:val="00BE3046"/>
    <w:rsid w:val="00C27A17"/>
    <w:rsid w:val="00C52E72"/>
    <w:rsid w:val="00C756C9"/>
    <w:rsid w:val="00C82B70"/>
    <w:rsid w:val="00CB63A8"/>
    <w:rsid w:val="00CC582F"/>
    <w:rsid w:val="00CE0055"/>
    <w:rsid w:val="00D42246"/>
    <w:rsid w:val="00D4339B"/>
    <w:rsid w:val="00D56A54"/>
    <w:rsid w:val="00D90E82"/>
    <w:rsid w:val="00DC0288"/>
    <w:rsid w:val="00DE4272"/>
    <w:rsid w:val="00E24A19"/>
    <w:rsid w:val="00E26C39"/>
    <w:rsid w:val="00E37C5F"/>
    <w:rsid w:val="00E669D1"/>
    <w:rsid w:val="00E71081"/>
    <w:rsid w:val="00EA352A"/>
    <w:rsid w:val="00EA6F4D"/>
    <w:rsid w:val="00EC3CBD"/>
    <w:rsid w:val="00F64AEA"/>
    <w:rsid w:val="00F71585"/>
    <w:rsid w:val="00FE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5053"/>
  <w14:defaultImageDpi w14:val="32767"/>
  <w15:chartTrackingRefBased/>
  <w15:docId w15:val="{3FF095A2-68E1-B645-A425-C2677BC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D8C"/>
    <w:pPr>
      <w:tabs>
        <w:tab w:val="center" w:pos="4513"/>
        <w:tab w:val="right" w:pos="9026"/>
      </w:tabs>
    </w:pPr>
  </w:style>
  <w:style w:type="character" w:customStyle="1" w:styleId="HeaderChar">
    <w:name w:val="Header Char"/>
    <w:basedOn w:val="DefaultParagraphFont"/>
    <w:link w:val="Header"/>
    <w:uiPriority w:val="99"/>
    <w:rsid w:val="00087D8C"/>
  </w:style>
  <w:style w:type="paragraph" w:styleId="Footer">
    <w:name w:val="footer"/>
    <w:basedOn w:val="Normal"/>
    <w:link w:val="FooterChar"/>
    <w:uiPriority w:val="99"/>
    <w:unhideWhenUsed/>
    <w:rsid w:val="00087D8C"/>
    <w:pPr>
      <w:tabs>
        <w:tab w:val="center" w:pos="4513"/>
        <w:tab w:val="right" w:pos="9026"/>
      </w:tabs>
    </w:pPr>
  </w:style>
  <w:style w:type="character" w:customStyle="1" w:styleId="FooterChar">
    <w:name w:val="Footer Char"/>
    <w:basedOn w:val="DefaultParagraphFont"/>
    <w:link w:val="Footer"/>
    <w:uiPriority w:val="99"/>
    <w:rsid w:val="00087D8C"/>
  </w:style>
  <w:style w:type="table" w:styleId="TableGrid">
    <w:name w:val="Table Grid"/>
    <w:basedOn w:val="TableNormal"/>
    <w:uiPriority w:val="39"/>
    <w:rsid w:val="00D9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B70"/>
    <w:rPr>
      <w:color w:val="0563C1" w:themeColor="hyperlink"/>
      <w:u w:val="single"/>
    </w:rPr>
  </w:style>
  <w:style w:type="character" w:styleId="UnresolvedMention">
    <w:name w:val="Unresolved Mention"/>
    <w:basedOn w:val="DefaultParagraphFont"/>
    <w:uiPriority w:val="99"/>
    <w:rsid w:val="00C82B70"/>
    <w:rPr>
      <w:color w:val="605E5C"/>
      <w:shd w:val="clear" w:color="auto" w:fill="E1DFDD"/>
    </w:rPr>
  </w:style>
  <w:style w:type="paragraph" w:styleId="NormalWeb">
    <w:name w:val="Normal (Web)"/>
    <w:basedOn w:val="Normal"/>
    <w:uiPriority w:val="99"/>
    <w:semiHidden/>
    <w:unhideWhenUsed/>
    <w:rsid w:val="00C82B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6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411">
      <w:bodyDiv w:val="1"/>
      <w:marLeft w:val="0"/>
      <w:marRight w:val="0"/>
      <w:marTop w:val="0"/>
      <w:marBottom w:val="0"/>
      <w:divBdr>
        <w:top w:val="none" w:sz="0" w:space="0" w:color="auto"/>
        <w:left w:val="none" w:sz="0" w:space="0" w:color="auto"/>
        <w:bottom w:val="none" w:sz="0" w:space="0" w:color="auto"/>
        <w:right w:val="none" w:sz="0" w:space="0" w:color="auto"/>
      </w:divBdr>
      <w:divsChild>
        <w:div w:id="1295793546">
          <w:marLeft w:val="274"/>
          <w:marRight w:val="0"/>
          <w:marTop w:val="0"/>
          <w:marBottom w:val="0"/>
          <w:divBdr>
            <w:top w:val="none" w:sz="0" w:space="0" w:color="auto"/>
            <w:left w:val="none" w:sz="0" w:space="0" w:color="auto"/>
            <w:bottom w:val="none" w:sz="0" w:space="0" w:color="auto"/>
            <w:right w:val="none" w:sz="0" w:space="0" w:color="auto"/>
          </w:divBdr>
        </w:div>
        <w:div w:id="1570577904">
          <w:marLeft w:val="274"/>
          <w:marRight w:val="0"/>
          <w:marTop w:val="0"/>
          <w:marBottom w:val="0"/>
          <w:divBdr>
            <w:top w:val="none" w:sz="0" w:space="0" w:color="auto"/>
            <w:left w:val="none" w:sz="0" w:space="0" w:color="auto"/>
            <w:bottom w:val="none" w:sz="0" w:space="0" w:color="auto"/>
            <w:right w:val="none" w:sz="0" w:space="0" w:color="auto"/>
          </w:divBdr>
        </w:div>
        <w:div w:id="1237588416">
          <w:marLeft w:val="274"/>
          <w:marRight w:val="0"/>
          <w:marTop w:val="0"/>
          <w:marBottom w:val="0"/>
          <w:divBdr>
            <w:top w:val="none" w:sz="0" w:space="0" w:color="auto"/>
            <w:left w:val="none" w:sz="0" w:space="0" w:color="auto"/>
            <w:bottom w:val="none" w:sz="0" w:space="0" w:color="auto"/>
            <w:right w:val="none" w:sz="0" w:space="0" w:color="auto"/>
          </w:divBdr>
        </w:div>
        <w:div w:id="399862799">
          <w:marLeft w:val="274"/>
          <w:marRight w:val="0"/>
          <w:marTop w:val="0"/>
          <w:marBottom w:val="0"/>
          <w:divBdr>
            <w:top w:val="none" w:sz="0" w:space="0" w:color="auto"/>
            <w:left w:val="none" w:sz="0" w:space="0" w:color="auto"/>
            <w:bottom w:val="none" w:sz="0" w:space="0" w:color="auto"/>
            <w:right w:val="none" w:sz="0" w:space="0" w:color="auto"/>
          </w:divBdr>
        </w:div>
      </w:divsChild>
    </w:div>
    <w:div w:id="552816088">
      <w:bodyDiv w:val="1"/>
      <w:marLeft w:val="0"/>
      <w:marRight w:val="0"/>
      <w:marTop w:val="0"/>
      <w:marBottom w:val="0"/>
      <w:divBdr>
        <w:top w:val="none" w:sz="0" w:space="0" w:color="auto"/>
        <w:left w:val="none" w:sz="0" w:space="0" w:color="auto"/>
        <w:bottom w:val="none" w:sz="0" w:space="0" w:color="auto"/>
        <w:right w:val="none" w:sz="0" w:space="0" w:color="auto"/>
      </w:divBdr>
    </w:div>
    <w:div w:id="707799186">
      <w:bodyDiv w:val="1"/>
      <w:marLeft w:val="0"/>
      <w:marRight w:val="0"/>
      <w:marTop w:val="0"/>
      <w:marBottom w:val="0"/>
      <w:divBdr>
        <w:top w:val="none" w:sz="0" w:space="0" w:color="auto"/>
        <w:left w:val="none" w:sz="0" w:space="0" w:color="auto"/>
        <w:bottom w:val="none" w:sz="0" w:space="0" w:color="auto"/>
        <w:right w:val="none" w:sz="0" w:space="0" w:color="auto"/>
      </w:divBdr>
    </w:div>
    <w:div w:id="818228586">
      <w:bodyDiv w:val="1"/>
      <w:marLeft w:val="0"/>
      <w:marRight w:val="0"/>
      <w:marTop w:val="0"/>
      <w:marBottom w:val="0"/>
      <w:divBdr>
        <w:top w:val="none" w:sz="0" w:space="0" w:color="auto"/>
        <w:left w:val="none" w:sz="0" w:space="0" w:color="auto"/>
        <w:bottom w:val="none" w:sz="0" w:space="0" w:color="auto"/>
        <w:right w:val="none" w:sz="0" w:space="0" w:color="auto"/>
      </w:divBdr>
    </w:div>
    <w:div w:id="969745322">
      <w:bodyDiv w:val="1"/>
      <w:marLeft w:val="0"/>
      <w:marRight w:val="0"/>
      <w:marTop w:val="0"/>
      <w:marBottom w:val="0"/>
      <w:divBdr>
        <w:top w:val="none" w:sz="0" w:space="0" w:color="auto"/>
        <w:left w:val="none" w:sz="0" w:space="0" w:color="auto"/>
        <w:bottom w:val="none" w:sz="0" w:space="0" w:color="auto"/>
        <w:right w:val="none" w:sz="0" w:space="0" w:color="auto"/>
      </w:divBdr>
    </w:div>
    <w:div w:id="1243182812">
      <w:bodyDiv w:val="1"/>
      <w:marLeft w:val="0"/>
      <w:marRight w:val="0"/>
      <w:marTop w:val="0"/>
      <w:marBottom w:val="0"/>
      <w:divBdr>
        <w:top w:val="none" w:sz="0" w:space="0" w:color="auto"/>
        <w:left w:val="none" w:sz="0" w:space="0" w:color="auto"/>
        <w:bottom w:val="none" w:sz="0" w:space="0" w:color="auto"/>
        <w:right w:val="none" w:sz="0" w:space="0" w:color="auto"/>
      </w:divBdr>
    </w:div>
    <w:div w:id="1524006273">
      <w:bodyDiv w:val="1"/>
      <w:marLeft w:val="0"/>
      <w:marRight w:val="0"/>
      <w:marTop w:val="0"/>
      <w:marBottom w:val="0"/>
      <w:divBdr>
        <w:top w:val="none" w:sz="0" w:space="0" w:color="auto"/>
        <w:left w:val="none" w:sz="0" w:space="0" w:color="auto"/>
        <w:bottom w:val="none" w:sz="0" w:space="0" w:color="auto"/>
        <w:right w:val="none" w:sz="0" w:space="0" w:color="auto"/>
      </w:divBdr>
    </w:div>
    <w:div w:id="1680811333">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5">
          <w:marLeft w:val="0"/>
          <w:marRight w:val="0"/>
          <w:marTop w:val="0"/>
          <w:marBottom w:val="0"/>
          <w:divBdr>
            <w:top w:val="none" w:sz="0" w:space="0" w:color="auto"/>
            <w:left w:val="none" w:sz="0" w:space="0" w:color="auto"/>
            <w:bottom w:val="none" w:sz="0" w:space="0" w:color="auto"/>
            <w:right w:val="none" w:sz="0" w:space="0" w:color="auto"/>
          </w:divBdr>
        </w:div>
        <w:div w:id="1387994237">
          <w:marLeft w:val="0"/>
          <w:marRight w:val="0"/>
          <w:marTop w:val="0"/>
          <w:marBottom w:val="0"/>
          <w:divBdr>
            <w:top w:val="none" w:sz="0" w:space="0" w:color="auto"/>
            <w:left w:val="none" w:sz="0" w:space="0" w:color="auto"/>
            <w:bottom w:val="none" w:sz="0" w:space="0" w:color="auto"/>
            <w:right w:val="none" w:sz="0" w:space="0" w:color="auto"/>
          </w:divBdr>
        </w:div>
        <w:div w:id="1724600571">
          <w:marLeft w:val="0"/>
          <w:marRight w:val="0"/>
          <w:marTop w:val="0"/>
          <w:marBottom w:val="0"/>
          <w:divBdr>
            <w:top w:val="none" w:sz="0" w:space="0" w:color="auto"/>
            <w:left w:val="none" w:sz="0" w:space="0" w:color="auto"/>
            <w:bottom w:val="none" w:sz="0" w:space="0" w:color="auto"/>
            <w:right w:val="none" w:sz="0" w:space="0" w:color="auto"/>
          </w:divBdr>
        </w:div>
        <w:div w:id="1215045660">
          <w:marLeft w:val="0"/>
          <w:marRight w:val="0"/>
          <w:marTop w:val="0"/>
          <w:marBottom w:val="0"/>
          <w:divBdr>
            <w:top w:val="none" w:sz="0" w:space="0" w:color="auto"/>
            <w:left w:val="none" w:sz="0" w:space="0" w:color="auto"/>
            <w:bottom w:val="none" w:sz="0" w:space="0" w:color="auto"/>
            <w:right w:val="none" w:sz="0" w:space="0" w:color="auto"/>
          </w:divBdr>
        </w:div>
        <w:div w:id="1400246867">
          <w:marLeft w:val="0"/>
          <w:marRight w:val="0"/>
          <w:marTop w:val="0"/>
          <w:marBottom w:val="0"/>
          <w:divBdr>
            <w:top w:val="none" w:sz="0" w:space="0" w:color="auto"/>
            <w:left w:val="none" w:sz="0" w:space="0" w:color="auto"/>
            <w:bottom w:val="none" w:sz="0" w:space="0" w:color="auto"/>
            <w:right w:val="none" w:sz="0" w:space="0" w:color="auto"/>
          </w:divBdr>
        </w:div>
        <w:div w:id="2132508511">
          <w:marLeft w:val="0"/>
          <w:marRight w:val="0"/>
          <w:marTop w:val="0"/>
          <w:marBottom w:val="0"/>
          <w:divBdr>
            <w:top w:val="none" w:sz="0" w:space="0" w:color="auto"/>
            <w:left w:val="none" w:sz="0" w:space="0" w:color="auto"/>
            <w:bottom w:val="none" w:sz="0" w:space="0" w:color="auto"/>
            <w:right w:val="none" w:sz="0" w:space="0" w:color="auto"/>
          </w:divBdr>
        </w:div>
        <w:div w:id="92677520">
          <w:marLeft w:val="0"/>
          <w:marRight w:val="0"/>
          <w:marTop w:val="0"/>
          <w:marBottom w:val="0"/>
          <w:divBdr>
            <w:top w:val="none" w:sz="0" w:space="0" w:color="auto"/>
            <w:left w:val="none" w:sz="0" w:space="0" w:color="auto"/>
            <w:bottom w:val="none" w:sz="0" w:space="0" w:color="auto"/>
            <w:right w:val="none" w:sz="0" w:space="0" w:color="auto"/>
          </w:divBdr>
        </w:div>
        <w:div w:id="261912231">
          <w:marLeft w:val="0"/>
          <w:marRight w:val="0"/>
          <w:marTop w:val="0"/>
          <w:marBottom w:val="0"/>
          <w:divBdr>
            <w:top w:val="none" w:sz="0" w:space="0" w:color="auto"/>
            <w:left w:val="none" w:sz="0" w:space="0" w:color="auto"/>
            <w:bottom w:val="none" w:sz="0" w:space="0" w:color="auto"/>
            <w:right w:val="none" w:sz="0" w:space="0" w:color="auto"/>
          </w:divBdr>
        </w:div>
        <w:div w:id="590479365">
          <w:marLeft w:val="0"/>
          <w:marRight w:val="0"/>
          <w:marTop w:val="0"/>
          <w:marBottom w:val="0"/>
          <w:divBdr>
            <w:top w:val="none" w:sz="0" w:space="0" w:color="auto"/>
            <w:left w:val="none" w:sz="0" w:space="0" w:color="auto"/>
            <w:bottom w:val="none" w:sz="0" w:space="0" w:color="auto"/>
            <w:right w:val="none" w:sz="0" w:space="0" w:color="auto"/>
          </w:divBdr>
        </w:div>
        <w:div w:id="1265919347">
          <w:marLeft w:val="0"/>
          <w:marRight w:val="0"/>
          <w:marTop w:val="0"/>
          <w:marBottom w:val="0"/>
          <w:divBdr>
            <w:top w:val="none" w:sz="0" w:space="0" w:color="auto"/>
            <w:left w:val="none" w:sz="0" w:space="0" w:color="auto"/>
            <w:bottom w:val="none" w:sz="0" w:space="0" w:color="auto"/>
            <w:right w:val="none" w:sz="0" w:space="0" w:color="auto"/>
          </w:divBdr>
        </w:div>
        <w:div w:id="555510160">
          <w:marLeft w:val="0"/>
          <w:marRight w:val="0"/>
          <w:marTop w:val="0"/>
          <w:marBottom w:val="0"/>
          <w:divBdr>
            <w:top w:val="none" w:sz="0" w:space="0" w:color="auto"/>
            <w:left w:val="none" w:sz="0" w:space="0" w:color="auto"/>
            <w:bottom w:val="none" w:sz="0" w:space="0" w:color="auto"/>
            <w:right w:val="none" w:sz="0" w:space="0" w:color="auto"/>
          </w:divBdr>
        </w:div>
        <w:div w:id="1615625467">
          <w:marLeft w:val="0"/>
          <w:marRight w:val="0"/>
          <w:marTop w:val="0"/>
          <w:marBottom w:val="0"/>
          <w:divBdr>
            <w:top w:val="none" w:sz="0" w:space="0" w:color="auto"/>
            <w:left w:val="none" w:sz="0" w:space="0" w:color="auto"/>
            <w:bottom w:val="none" w:sz="0" w:space="0" w:color="auto"/>
            <w:right w:val="none" w:sz="0" w:space="0" w:color="auto"/>
          </w:divBdr>
        </w:div>
      </w:divsChild>
    </w:div>
    <w:div w:id="1740858070">
      <w:bodyDiv w:val="1"/>
      <w:marLeft w:val="0"/>
      <w:marRight w:val="0"/>
      <w:marTop w:val="0"/>
      <w:marBottom w:val="0"/>
      <w:divBdr>
        <w:top w:val="none" w:sz="0" w:space="0" w:color="auto"/>
        <w:left w:val="none" w:sz="0" w:space="0" w:color="auto"/>
        <w:bottom w:val="none" w:sz="0" w:space="0" w:color="auto"/>
        <w:right w:val="none" w:sz="0" w:space="0" w:color="auto"/>
      </w:divBdr>
    </w:div>
    <w:div w:id="1852836415">
      <w:bodyDiv w:val="1"/>
      <w:marLeft w:val="0"/>
      <w:marRight w:val="0"/>
      <w:marTop w:val="0"/>
      <w:marBottom w:val="0"/>
      <w:divBdr>
        <w:top w:val="none" w:sz="0" w:space="0" w:color="auto"/>
        <w:left w:val="none" w:sz="0" w:space="0" w:color="auto"/>
        <w:bottom w:val="none" w:sz="0" w:space="0" w:color="auto"/>
        <w:right w:val="none" w:sz="0" w:space="0" w:color="auto"/>
      </w:divBdr>
    </w:div>
    <w:div w:id="1901166100">
      <w:bodyDiv w:val="1"/>
      <w:marLeft w:val="0"/>
      <w:marRight w:val="0"/>
      <w:marTop w:val="0"/>
      <w:marBottom w:val="0"/>
      <w:divBdr>
        <w:top w:val="none" w:sz="0" w:space="0" w:color="auto"/>
        <w:left w:val="none" w:sz="0" w:space="0" w:color="auto"/>
        <w:bottom w:val="none" w:sz="0" w:space="0" w:color="auto"/>
        <w:right w:val="none" w:sz="0" w:space="0" w:color="auto"/>
      </w:divBdr>
    </w:div>
    <w:div w:id="1902206088">
      <w:bodyDiv w:val="1"/>
      <w:marLeft w:val="0"/>
      <w:marRight w:val="0"/>
      <w:marTop w:val="0"/>
      <w:marBottom w:val="0"/>
      <w:divBdr>
        <w:top w:val="none" w:sz="0" w:space="0" w:color="auto"/>
        <w:left w:val="none" w:sz="0" w:space="0" w:color="auto"/>
        <w:bottom w:val="none" w:sz="0" w:space="0" w:color="auto"/>
        <w:right w:val="none" w:sz="0" w:space="0" w:color="auto"/>
      </w:divBdr>
      <w:divsChild>
        <w:div w:id="1059938168">
          <w:marLeft w:val="360"/>
          <w:marRight w:val="0"/>
          <w:marTop w:val="0"/>
          <w:marBottom w:val="0"/>
          <w:divBdr>
            <w:top w:val="none" w:sz="0" w:space="0" w:color="auto"/>
            <w:left w:val="none" w:sz="0" w:space="0" w:color="auto"/>
            <w:bottom w:val="none" w:sz="0" w:space="0" w:color="auto"/>
            <w:right w:val="none" w:sz="0" w:space="0" w:color="auto"/>
          </w:divBdr>
        </w:div>
        <w:div w:id="41478799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wp-content/uploads/2019/05/gms-contract-qof-guidance-april-2019.pdf" TargetMode="External"/><Relationship Id="rId18" Type="http://schemas.openxmlformats.org/officeDocument/2006/relationships/hyperlink" Target="https://www.gov.scot/publications/good-practice-shared-decision-making-cons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ps.nhs.uk/articles/about-the-who-medication-without-harm-global-patient-safety-challenge/" TargetMode="External"/><Relationship Id="rId17" Type="http://schemas.openxmlformats.org/officeDocument/2006/relationships/hyperlink" Target="https://www.england.nhs.uk/wp-content/uploads/2019/03/network-contract-des-guidance-2019-20-v2.pdf" TargetMode="External"/><Relationship Id="rId2" Type="http://schemas.openxmlformats.org/officeDocument/2006/relationships/customXml" Target="../customXml/item2.xml"/><Relationship Id="rId16" Type="http://schemas.openxmlformats.org/officeDocument/2006/relationships/hyperlink" Target="https://wessexahsn.org.uk/projects/321/me-and-my-medicines" TargetMode="External"/><Relationship Id="rId20" Type="http://schemas.openxmlformats.org/officeDocument/2006/relationships/hyperlink" Target="https://www.therapeutics.scot.nhs.uk/wp-content/uploads/2018/04/Polypharmacy-Guidance-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gtermplan.nhs.uk/wp-content/uploads/2019/01/the-nhs-long-term-plan-summary.pdf" TargetMode="External"/><Relationship Id="rId5" Type="http://schemas.openxmlformats.org/officeDocument/2006/relationships/styles" Target="styles.xml"/><Relationship Id="rId15" Type="http://schemas.openxmlformats.org/officeDocument/2006/relationships/hyperlink" Target="https://meandmymedicines.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therapeutics.scot.nhs.uk/wp-content/uploads/2018/04/Polypharmacy-Guidance-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org.uk/funding-and-partnerships/programme/magic-shared-decision-mak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F88E2FF2F28458D81D12AA9A41BF7" ma:contentTypeVersion="15" ma:contentTypeDescription="Create a new document." ma:contentTypeScope="" ma:versionID="2236e0b6b9fe3cedddae180c7ab40c91">
  <xsd:schema xmlns:xsd="http://www.w3.org/2001/XMLSchema" xmlns:xs="http://www.w3.org/2001/XMLSchema" xmlns:p="http://schemas.microsoft.com/office/2006/metadata/properties" xmlns:ns1="http://schemas.microsoft.com/sharepoint/v3" xmlns:ns2="1fb583e4-9c5f-46af-abc4-68d37c697cec" xmlns:ns3="31ce1eff-dceb-4027-8ff2-96c1a1ae22b6" targetNamespace="http://schemas.microsoft.com/office/2006/metadata/properties" ma:root="true" ma:fieldsID="cd8e60694de507b88758996b39a9a5ea" ns1:_="" ns2:_="" ns3:_="">
    <xsd:import namespace="http://schemas.microsoft.com/sharepoint/v3"/>
    <xsd:import namespace="1fb583e4-9c5f-46af-abc4-68d37c697cec"/>
    <xsd:import namespace="31ce1eff-dceb-4027-8ff2-96c1a1ae22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583e4-9c5f-46af-abc4-68d37c697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ce1eff-dceb-4027-8ff2-96c1a1ae2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2E982-A9A7-4B57-AB59-187BF7273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A8147-E150-441B-A064-BEAB4F8EABCF}">
  <ds:schemaRefs>
    <ds:schemaRef ds:uri="http://schemas.microsoft.com/sharepoint/v3/contenttype/forms"/>
  </ds:schemaRefs>
</ds:datastoreItem>
</file>

<file path=customXml/itemProps3.xml><?xml version="1.0" encoding="utf-8"?>
<ds:datastoreItem xmlns:ds="http://schemas.openxmlformats.org/officeDocument/2006/customXml" ds:itemID="{5A91E8FC-75A9-4A27-8483-99FC40D5916A}"/>
</file>

<file path=docProps/app.xml><?xml version="1.0" encoding="utf-8"?>
<Properties xmlns="http://schemas.openxmlformats.org/officeDocument/2006/extended-properties" xmlns:vt="http://schemas.openxmlformats.org/officeDocument/2006/docPropsVTypes">
  <Template>Normal</Template>
  <TotalTime>102</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Howard</dc:creator>
  <cp:keywords/>
  <dc:description/>
  <cp:lastModifiedBy>Suzi Van Es</cp:lastModifiedBy>
  <cp:revision>3</cp:revision>
  <dcterms:created xsi:type="dcterms:W3CDTF">2019-11-19T13:33:00Z</dcterms:created>
  <dcterms:modified xsi:type="dcterms:W3CDTF">2019-11-19T16:58:00Z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0x010100BECF88E2FF2F28458D81D12AA9A41BF7</vt:lpwstr>
  </property>
</Properties>
</file>